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441601-2022-02369</w:t>
      </w:r>
    </w:p>
    <w:p>
      <w:pPr>
        <w:jc w:val="center"/>
      </w:pPr>
      <w:r>
        <w:rPr>
          <w:b/>
          <w:sz w:val="24"/>
        </w:rPr>
        <w:t>采购项目编号：</w:t>
      </w:r>
      <w:r>
        <w:rPr>
          <w:b/>
          <w:sz w:val="24"/>
        </w:rPr>
        <w:t>HYWX20221205</w:t>
      </w:r>
    </w:p>
    <w:p>
      <w:pPr>
        <w:jc w:val="center"/>
      </w:pPr>
      <w:r>
        <w:rPr>
          <w:b/>
          <w:sz w:val="24"/>
        </w:rPr>
        <w:t>项目名称：</w:t>
      </w:r>
      <w:r>
        <w:rPr>
          <w:b/>
          <w:sz w:val="24"/>
        </w:rPr>
        <w:t>河源市公安局交警支队205国道科技示范公路项目</w:t>
      </w:r>
    </w:p>
    <w:p>
      <w:pPr>
        <w:jc w:val="center"/>
      </w:pPr>
      <w:r>
        <w:rPr>
          <w:b/>
          <w:sz w:val="24"/>
        </w:rPr>
        <w:t>采购人：</w:t>
      </w:r>
      <w:r>
        <w:rPr>
          <w:b/>
          <w:sz w:val="24"/>
        </w:rPr>
        <w:t>河源市公安局</w:t>
      </w:r>
    </w:p>
    <w:p>
      <w:pPr>
        <w:jc w:val="center"/>
      </w:pPr>
      <w:r>
        <w:rPr>
          <w:b/>
          <w:sz w:val="24"/>
        </w:rPr>
        <w:t>采购代理机构：</w:t>
      </w:r>
      <w:r>
        <w:rPr>
          <w:b/>
          <w:sz w:val="24"/>
        </w:rPr>
        <w:t>河源市万信招标代理有限公司</w:t>
      </w:r>
    </w:p>
    <w:p>
      <w:pPr>
        <w:ind w:firstLine="480"/>
      </w:pPr>
    </w:p>
    <w:p>
      <w:r>
        <w:rPr/>
        <w:t xml:space="preserve"> </w:t>
      </w:r>
    </w:p>
    <w:p/>
    <w:p>
      <w:pPr>
        <w:jc w:val="center"/>
      </w:pPr>
      <w:r>
        <w:rPr>
          <w:b/>
          <w:sz w:val="36"/>
        </w:rPr>
        <w:t>第一章投标邀请</w:t>
      </w:r>
    </w:p>
    <w:p>
      <w:pPr>
        <w:ind w:firstLine="480"/>
      </w:pPr>
      <w:r>
        <w:rPr/>
        <w:t>河源市万信招标代理有限公司</w:t>
      </w:r>
      <w:r>
        <w:rPr/>
        <w:t>受</w:t>
      </w:r>
      <w:r>
        <w:rPr/>
        <w:t>河源市公安局</w:t>
      </w:r>
      <w:r>
        <w:rPr/>
        <w:t>的委托，采用</w:t>
      </w:r>
      <w:r>
        <w:rPr/>
        <w:t>公开招标</w:t>
      </w:r>
      <w:r>
        <w:rPr/>
        <w:t>方式组织采购</w:t>
      </w:r>
      <w:r>
        <w:rPr/>
        <w:t>河源市公安局交警支队205国道科技示范公路项目</w:t>
      </w:r>
      <w:r>
        <w:rPr/>
        <w:t>。欢迎符合资格条件的国内供应商参加投标。</w:t>
      </w:r>
    </w:p>
    <w:p>
      <w:r>
        <w:rPr>
          <w:b/>
          <w:sz w:val="28"/>
        </w:rPr>
        <w:t>一.项目概述</w:t>
      </w:r>
    </w:p>
    <w:p>
      <w:r>
        <w:rPr>
          <w:b/>
          <w:sz w:val="24"/>
        </w:rPr>
        <w:t>1.名称与编号</w:t>
      </w:r>
    </w:p>
    <w:p>
      <w:pPr>
        <w:ind w:firstLine="480"/>
      </w:pPr>
      <w:r>
        <w:rPr/>
        <w:t>项目名称：</w:t>
      </w:r>
      <w:r>
        <w:rPr/>
        <w:t>河源市公安局交警支队205国道科技示范公路项目</w:t>
      </w:r>
    </w:p>
    <w:p>
      <w:pPr>
        <w:ind w:firstLine="480"/>
      </w:pPr>
      <w:r>
        <w:rPr/>
        <w:t>采购计划编号：</w:t>
      </w:r>
      <w:r>
        <w:rPr/>
        <w:t>441601-2022-02369</w:t>
      </w:r>
    </w:p>
    <w:p>
      <w:pPr>
        <w:ind w:firstLine="480"/>
      </w:pPr>
      <w:r>
        <w:rPr/>
        <w:t>采购项目编号：</w:t>
      </w:r>
      <w:r>
        <w:rPr/>
        <w:t>HYWX20221205</w:t>
      </w:r>
    </w:p>
    <w:p>
      <w:pPr>
        <w:ind w:firstLine="480"/>
      </w:pPr>
      <w:r>
        <w:rPr/>
        <w:t>采购方式：</w:t>
      </w:r>
      <w:r>
        <w:rPr/>
        <w:t>公开招标</w:t>
      </w:r>
    </w:p>
    <w:p>
      <w:pPr>
        <w:ind w:firstLine="480"/>
      </w:pPr>
      <w:r>
        <w:rPr/>
        <w:t>预算金额：</w:t>
      </w:r>
      <w:r>
        <w:rPr/>
        <w:t>3,766,000.00</w:t>
      </w:r>
      <w:r>
        <w:rPr/>
        <w:t>元</w:t>
      </w:r>
    </w:p>
    <w:p>
      <w:r>
        <w:rPr>
          <w:b/>
          <w:sz w:val="24"/>
        </w:rPr>
        <w:t>2.项目内容及需求情况（采购项目技术规格、参数及要求）</w:t>
      </w:r>
    </w:p>
    <w:p>
      <w:pPr>
        <w:ind w:firstLine="480"/>
      </w:pPr>
    </w:p>
    <w:p/>
    <w:p>
      <w:r>
        <w:rPr/>
        <w:t>采购包1(河源市公安局交警支队205国道科技示范 公路项目):</w:t>
      </w:r>
    </w:p>
    <w:p>
      <w:r>
        <w:rPr/>
        <w:t>采购包预算金额：3,766,000.00元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其他货物</w:t>
            </w:r>
          </w:p>
        </w:tc>
        <w:tc>
          <w:tcPr>
            <w:tcW w:type="dxa" w:w="2052"/>
          </w:tcPr>
          <w:p>
            <w:r>
              <w:rPr/>
              <w:t>900万环保卡口抓拍单元</w:t>
            </w:r>
          </w:p>
        </w:tc>
        <w:tc>
          <w:tcPr>
            <w:tcW w:type="dxa" w:w="977"/>
          </w:tcPr>
          <w:p>
            <w:r>
              <w:rPr/>
              <w:t>6.0000(套)</w:t>
            </w:r>
          </w:p>
        </w:tc>
        <w:tc>
          <w:tcPr>
            <w:tcW w:type="dxa" w:w="977"/>
          </w:tcPr>
          <w:p>
            <w:r>
              <w:rPr/>
              <w:t>详见第二章</w:t>
            </w:r>
          </w:p>
        </w:tc>
        <w:tc>
          <w:tcPr>
            <w:tcW w:type="dxa" w:w="977"/>
          </w:tcPr>
          <w:p>
            <w:r>
              <w:rPr/>
              <w:t>88,604.00</w:t>
            </w:r>
          </w:p>
        </w:tc>
        <w:tc>
          <w:tcPr>
            <w:tcW w:type="dxa" w:w="977"/>
          </w:tcPr>
          <w:p>
            <w:r>
              <w:rPr/>
              <w:t>否</w:t>
            </w:r>
          </w:p>
        </w:tc>
      </w:tr>
      <w:tr>
        <w:tc>
          <w:tcPr>
            <w:tcW w:type="dxa" w:w="977"/>
          </w:tcPr>
          <w:p>
            <w:r>
              <w:rPr/>
              <w:t>1-2</w:t>
            </w:r>
          </w:p>
        </w:tc>
        <w:tc>
          <w:tcPr>
            <w:tcW w:type="dxa" w:w="1368"/>
          </w:tcPr>
          <w:p>
            <w:r>
              <w:rPr/>
              <w:t>其他货物</w:t>
            </w:r>
          </w:p>
        </w:tc>
        <w:tc>
          <w:tcPr>
            <w:tcW w:type="dxa" w:w="2052"/>
          </w:tcPr>
          <w:p>
            <w:r>
              <w:rPr/>
              <w:t>多合一补光灯</w:t>
            </w:r>
          </w:p>
        </w:tc>
        <w:tc>
          <w:tcPr>
            <w:tcW w:type="dxa" w:w="977"/>
          </w:tcPr>
          <w:p>
            <w:r>
              <w:rPr/>
              <w:t>14.0000(台)</w:t>
            </w:r>
          </w:p>
        </w:tc>
        <w:tc>
          <w:tcPr>
            <w:tcW w:type="dxa" w:w="977"/>
          </w:tcPr>
          <w:p>
            <w:r>
              <w:rPr/>
              <w:t>详见第二章</w:t>
            </w:r>
          </w:p>
        </w:tc>
        <w:tc>
          <w:tcPr>
            <w:tcW w:type="dxa" w:w="977"/>
          </w:tcPr>
          <w:p>
            <w:r>
              <w:rPr/>
              <w:t>39,212.39</w:t>
            </w:r>
          </w:p>
        </w:tc>
        <w:tc>
          <w:tcPr>
            <w:tcW w:type="dxa" w:w="977"/>
          </w:tcPr>
          <w:p>
            <w:r>
              <w:rPr/>
              <w:t>否</w:t>
            </w:r>
          </w:p>
        </w:tc>
      </w:tr>
      <w:tr>
        <w:tc>
          <w:tcPr>
            <w:tcW w:type="dxa" w:w="977"/>
          </w:tcPr>
          <w:p>
            <w:r>
              <w:rPr/>
              <w:t>1-3</w:t>
            </w:r>
          </w:p>
        </w:tc>
        <w:tc>
          <w:tcPr>
            <w:tcW w:type="dxa" w:w="1368"/>
          </w:tcPr>
          <w:p>
            <w:r>
              <w:rPr/>
              <w:t>其他货物</w:t>
            </w:r>
          </w:p>
        </w:tc>
        <w:tc>
          <w:tcPr>
            <w:tcW w:type="dxa" w:w="2052"/>
          </w:tcPr>
          <w:p>
            <w:r>
              <w:rPr/>
              <w:t>球机监控</w:t>
            </w:r>
          </w:p>
        </w:tc>
        <w:tc>
          <w:tcPr>
            <w:tcW w:type="dxa" w:w="977"/>
          </w:tcPr>
          <w:p>
            <w:r>
              <w:rPr/>
              <w:t>24.0000(套)</w:t>
            </w:r>
          </w:p>
        </w:tc>
        <w:tc>
          <w:tcPr>
            <w:tcW w:type="dxa" w:w="977"/>
          </w:tcPr>
          <w:p>
            <w:r>
              <w:rPr/>
              <w:t>详见第二章</w:t>
            </w:r>
          </w:p>
        </w:tc>
        <w:tc>
          <w:tcPr>
            <w:tcW w:type="dxa" w:w="977"/>
          </w:tcPr>
          <w:p>
            <w:r>
              <w:rPr/>
              <w:t>201,600.00</w:t>
            </w:r>
          </w:p>
        </w:tc>
        <w:tc>
          <w:tcPr>
            <w:tcW w:type="dxa" w:w="977"/>
          </w:tcPr>
          <w:p>
            <w:r>
              <w:rPr/>
              <w:t>否</w:t>
            </w:r>
          </w:p>
        </w:tc>
      </w:tr>
      <w:tr>
        <w:tc>
          <w:tcPr>
            <w:tcW w:type="dxa" w:w="977"/>
          </w:tcPr>
          <w:p>
            <w:r>
              <w:rPr/>
              <w:t>1-4</w:t>
            </w:r>
          </w:p>
        </w:tc>
        <w:tc>
          <w:tcPr>
            <w:tcW w:type="dxa" w:w="1368"/>
          </w:tcPr>
          <w:p>
            <w:r>
              <w:rPr/>
              <w:t>其他货物</w:t>
            </w:r>
          </w:p>
        </w:tc>
        <w:tc>
          <w:tcPr>
            <w:tcW w:type="dxa" w:w="2052"/>
          </w:tcPr>
          <w:p>
            <w:r>
              <w:rPr/>
              <w:t>LCD拼接屏</w:t>
            </w:r>
          </w:p>
        </w:tc>
        <w:tc>
          <w:tcPr>
            <w:tcW w:type="dxa" w:w="977"/>
          </w:tcPr>
          <w:p>
            <w:r>
              <w:rPr/>
              <w:t>36.0000(台)</w:t>
            </w:r>
          </w:p>
        </w:tc>
        <w:tc>
          <w:tcPr>
            <w:tcW w:type="dxa" w:w="977"/>
          </w:tcPr>
          <w:p>
            <w:r>
              <w:rPr/>
              <w:t>详见第二章</w:t>
            </w:r>
          </w:p>
        </w:tc>
        <w:tc>
          <w:tcPr>
            <w:tcW w:type="dxa" w:w="977"/>
          </w:tcPr>
          <w:p>
            <w:r>
              <w:rPr/>
              <w:t>427,860.00</w:t>
            </w:r>
          </w:p>
        </w:tc>
        <w:tc>
          <w:tcPr>
            <w:tcW w:type="dxa" w:w="977"/>
          </w:tcPr>
          <w:p>
            <w:r>
              <w:rPr/>
              <w:t>否</w:t>
            </w:r>
          </w:p>
        </w:tc>
      </w:tr>
      <w:tr>
        <w:tc>
          <w:tcPr>
            <w:tcW w:type="dxa" w:w="977"/>
          </w:tcPr>
          <w:p>
            <w:r>
              <w:rPr/>
              <w:t>1-5</w:t>
            </w:r>
          </w:p>
        </w:tc>
        <w:tc>
          <w:tcPr>
            <w:tcW w:type="dxa" w:w="1368"/>
          </w:tcPr>
          <w:p>
            <w:r>
              <w:rPr/>
              <w:t>其他货物</w:t>
            </w:r>
          </w:p>
        </w:tc>
        <w:tc>
          <w:tcPr>
            <w:tcW w:type="dxa" w:w="2052"/>
          </w:tcPr>
          <w:p>
            <w:r>
              <w:rPr/>
              <w:t>B21一体机</w:t>
            </w:r>
          </w:p>
        </w:tc>
        <w:tc>
          <w:tcPr>
            <w:tcW w:type="dxa" w:w="977"/>
          </w:tcPr>
          <w:p>
            <w:r>
              <w:rPr/>
              <w:t>4.0000(台)</w:t>
            </w:r>
          </w:p>
        </w:tc>
        <w:tc>
          <w:tcPr>
            <w:tcW w:type="dxa" w:w="977"/>
          </w:tcPr>
          <w:p>
            <w:r>
              <w:rPr/>
              <w:t>详见第二章</w:t>
            </w:r>
          </w:p>
        </w:tc>
        <w:tc>
          <w:tcPr>
            <w:tcW w:type="dxa" w:w="977"/>
          </w:tcPr>
          <w:p>
            <w:r>
              <w:rPr/>
              <w:t>166,088.50</w:t>
            </w:r>
          </w:p>
        </w:tc>
        <w:tc>
          <w:tcPr>
            <w:tcW w:type="dxa" w:w="977"/>
          </w:tcPr>
          <w:p>
            <w:r>
              <w:rPr/>
              <w:t>否</w:t>
            </w:r>
          </w:p>
        </w:tc>
      </w:tr>
      <w:tr>
        <w:tc>
          <w:tcPr>
            <w:tcW w:type="dxa" w:w="977"/>
          </w:tcPr>
          <w:p>
            <w:r>
              <w:rPr/>
              <w:t>1-6</w:t>
            </w:r>
          </w:p>
        </w:tc>
        <w:tc>
          <w:tcPr>
            <w:tcW w:type="dxa" w:w="1368"/>
          </w:tcPr>
          <w:p>
            <w:r>
              <w:rPr/>
              <w:t>其他货物</w:t>
            </w:r>
          </w:p>
        </w:tc>
        <w:tc>
          <w:tcPr>
            <w:tcW w:type="dxa" w:w="2052"/>
          </w:tcPr>
          <w:p>
            <w:r>
              <w:rPr/>
              <w:t>河源市公安局交警支队205国道科技示范公路项目</w:t>
            </w:r>
          </w:p>
        </w:tc>
        <w:tc>
          <w:tcPr>
            <w:tcW w:type="dxa" w:w="977"/>
          </w:tcPr>
          <w:p>
            <w:r>
              <w:rPr/>
              <w:t>1.0000(项)</w:t>
            </w:r>
          </w:p>
        </w:tc>
        <w:tc>
          <w:tcPr>
            <w:tcW w:type="dxa" w:w="977"/>
          </w:tcPr>
          <w:p>
            <w:r>
              <w:rPr/>
              <w:t>详见第二章</w:t>
            </w:r>
          </w:p>
        </w:tc>
        <w:tc>
          <w:tcPr>
            <w:tcW w:type="dxa" w:w="977"/>
          </w:tcPr>
          <w:p>
            <w:r>
              <w:rPr/>
              <w:t>2,842,635.11</w:t>
            </w:r>
          </w:p>
        </w:tc>
        <w:tc>
          <w:tcPr>
            <w:tcW w:type="dxa" w:w="977"/>
          </w:tcPr>
          <w:p>
            <w:r>
              <w:rPr/>
              <w:t>否</w:t>
            </w:r>
          </w:p>
        </w:tc>
      </w:tr>
    </w:tbl>
    <w:p/>
    <w:p>
      <w:r>
        <w:rPr/>
        <w:t>本采购包不接受联合体投标</w:t>
      </w:r>
    </w:p>
    <w:p/>
    <w:p>
      <w:r>
        <w:rPr/>
        <w:t>合同履行期限：签订合同后180个日历天内完成所有设备的安装调试并投入试运行</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具有独立承担民事责任能力的在中华人民共和国境内注册的法人或其他组织；（分支机构投标的，须取得具有法人资格的总公司出具给分支机构的授权书，并提供总公司和分公司营业执照复印件。已由总公司授权的，总公司取得的相关资质证书对分支机构有效，法律法规或者行业另有规定的除外。）；</w:t>
      </w:r>
    </w:p>
    <w:p/>
    <w:p>
      <w:r>
        <w:rPr/>
        <w:t>2）具有良好的商业信誉和健全的财务会计制度：具有良好的商业信誉和健全的财务会计制度（提供2021年的年度财务状况报表或基本开户行出具的资信证明，若供应商新注册的，则提供成立至今的月或季度财务状况报告）；</w:t>
      </w:r>
    </w:p>
    <w:p/>
    <w:p>
      <w:r>
        <w:rPr/>
        <w:t>3）履行合同所必需的设备和专业技术能力：具有履行合同所必需的设备和专业技术能力（提供承诺函）；</w:t>
      </w:r>
    </w:p>
    <w:p/>
    <w:p>
      <w:r>
        <w:rPr/>
        <w:t>4）有依法缴纳税收和社会保障资金的良好记录：有依法缴纳税收和社会保障资金的良好记录（提供投标截止时间前6个月内任意一个月份有依法缴纳税收和社会保障资金的相关材料，如依法免税或不需要缴纳社会保障资金的，应提供相应文件证明）；</w:t>
      </w:r>
    </w:p>
    <w:p/>
    <w:p>
      <w:r>
        <w:rPr/>
        <w:t>5）参加采购活动前3年内，在经营活动中没有重大违法记录：参加政府采购活动前三年内，在经营活动中没有重大违法记录（提供书面声明）</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采购包1（河源市公安局交警支队205国道科技示范 公路项目）：</w:t>
      </w:r>
    </w:p>
    <w:p/>
    <w:p>
      <w:r>
        <w:rPr/>
        <w:t>1)单位负责人为同一人或者存在直接控股、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2)投标供应商未被列入“信用中国”网站(www.creditchina.gov.cn)以下任何记录名单之一：①失信被执行人（http://zxgk.court.gov.cn/）；②重大税收违法失信主体；③政府采购严重违法失信行为。同时，不处于中国政府采购网(www.ccgp.gov.cn)“政府采购严重违法失信行为信息记录”中的禁止参加政府采购活动期间。。说明:1)由采购代理机构于投标截止日在“信用中国”网站(www.creditchina.gov.cn)及中国政府采购网(www.ccgp.gov.cn)查询结果为准。如相关失信记录已失效，供应商需提供相关证明资料。2)采购代理机构同时对信用信息查询记录和证据截图或下载存档；</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河源市公安局</w:t>
      </w:r>
    </w:p>
    <w:p>
      <w:pPr>
        <w:ind w:firstLine="480"/>
      </w:pPr>
      <w:r>
        <w:rPr/>
        <w:t>地址：</w:t>
      </w:r>
      <w:r>
        <w:rPr/>
        <w:t>河源市源城区凯丰路4号</w:t>
      </w:r>
    </w:p>
    <w:p>
      <w:pPr>
        <w:ind w:firstLine="480"/>
      </w:pPr>
      <w:r>
        <w:rPr/>
        <w:t>联系方式：</w:t>
      </w:r>
      <w:r>
        <w:rPr/>
        <w:t>0762-3267299</w:t>
      </w:r>
    </w:p>
    <w:p>
      <w:r>
        <w:rPr>
          <w:b/>
          <w:sz w:val="24"/>
        </w:rPr>
        <w:t>2.采购代理机构信息</w:t>
      </w:r>
    </w:p>
    <w:p>
      <w:pPr>
        <w:ind w:firstLine="480"/>
      </w:pPr>
      <w:r>
        <w:rPr/>
        <w:t>名称：</w:t>
      </w:r>
      <w:r>
        <w:rPr/>
        <w:t>河源市万信招标代理有限公司</w:t>
      </w:r>
    </w:p>
    <w:p>
      <w:pPr>
        <w:ind w:firstLine="480"/>
      </w:pPr>
      <w:r>
        <w:rPr/>
        <w:t>地址：</w:t>
      </w:r>
      <w:r>
        <w:rPr/>
        <w:t>河源市新市区纬十一路北边大同路东面大同综合市场3层B7</w:t>
      </w:r>
    </w:p>
    <w:p>
      <w:pPr>
        <w:ind w:firstLine="480"/>
      </w:pPr>
      <w:r>
        <w:rPr/>
        <w:t>联系方式：</w:t>
      </w:r>
      <w:r>
        <w:rPr/>
        <w:t>0762-3300039</w:t>
      </w:r>
    </w:p>
    <w:p>
      <w:r>
        <w:rPr>
          <w:b/>
          <w:sz w:val="24"/>
        </w:rPr>
        <w:t>3.项目联系方式</w:t>
      </w:r>
    </w:p>
    <w:p>
      <w:pPr>
        <w:ind w:firstLine="480"/>
      </w:pPr>
      <w:r>
        <w:rPr/>
        <w:t>项目联系人：</w:t>
      </w:r>
      <w:r>
        <w:rPr/>
        <w:t>赖女士</w:t>
      </w:r>
    </w:p>
    <w:p>
      <w:pPr>
        <w:ind w:firstLine="480"/>
      </w:pPr>
      <w:r>
        <w:rPr/>
        <w:t>电话：</w:t>
      </w:r>
      <w:r>
        <w:rPr/>
        <w:t>0762-3300039</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河源市万信招标代理有限公司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b/>
          <w:color w:val="000000"/>
          <w:sz w:val="21"/>
        </w:rPr>
        <w:t>（一）项目概况:</w:t>
      </w:r>
      <w:r>
        <w:rPr>
          <w:color w:val="000000"/>
          <w:sz w:val="24"/>
        </w:rPr>
        <w:t>按照《公安交通管理科技发展规划（2021-2023年）》内要求，“当前，我国新一轮科技革命和社会治理转型并发，交通要素数量激增和结构变化并行，公安交通管理科技工作面临新的发展机遇和挑战。国家治理体系和治理能力现代化对交通管理科技工作提出更高要求。科技信息化是交通安全治理体系和治理能力现代化的重要支撑。交通管理改革和创新发展，需要充分发挥科技力量，加强交通管理精细化、智能化、专业化建设，不断推动共建共治共享交通安全治理新格局的形成。全国道路交通安全形势对交通管理科技工作提出更高要求。我国人车路规模持续快速增长，事故总量依然很大。实现“减量控大”目标要求，需要充分发挥科技力量，推进交通管理领域大数据智能化应用，有效支撑安全形势精准研判、风险隐患精密防范、交通违法精确打击，不断促进道路交通安全管理工作高质量发展。人民群众对美好生活的向往对交通管理科技工作提出更高要求。新一轮产业变革深刻影响着人民群众的生产生活，进一步激发了人民群众对交通管理服务创新的期待。增强人民群众的获得感和满意度，需要充分发挥科技力量，持续深化“放管服”改革，持续推进道路交通出行服务，不断提升公安交通管理部门便民利民服务水平。科学技术发展日新月异对交通管理科技工作提出更高要求。新技术的不断涌现，促使原有技术升级换代步伐加快，触动新时代交通管理科技思维的转变。响应国家新型基础设施建设和数据作为生产要素的要求，需要充分运用5G、大数据、人工智能、物联网等新技术，积极探索车联网与无人驾驶，推进交通管理智慧化升级，支撑科技兴警落地。</w:t>
      </w:r>
    </w:p>
    <w:p>
      <w:pPr>
        <w:ind w:firstLine="480"/>
        <w:jc w:val="both"/>
      </w:pPr>
      <w:r>
        <w:rPr>
          <w:color w:val="000000"/>
          <w:sz w:val="24"/>
        </w:rPr>
        <w:t>面对新形势，对照新要求，公安交通管理科技工作仍存在一些亟待解决的基础性、机制性问题。当前，“四大平台”技术架构和应用还不能全面响应交管业务实战需要，大数据智能化应用还不能精准支撑道路交通安全治理工作，对交通检测、交通组织、信号控制、信息发布等基础技术重视和投入不足，科技创新意识、创新应用、创新合作共享机制都有待进一步增强，科技工作重建设、轻运维，重应用、轻监管的现象依然存在，影响和制约了公安交通管理科技的快速发展和效能发挥。”</w:t>
      </w:r>
    </w:p>
    <w:p>
      <w:pPr>
        <w:ind w:firstLine="480"/>
        <w:jc w:val="both"/>
      </w:pPr>
      <w:r>
        <w:rPr>
          <w:color w:val="000000"/>
          <w:sz w:val="24"/>
        </w:rPr>
        <w:t>此外，为了深入贯彻习近平总书记关于加强安全生产的重要指示精神，落实公安部《国省道交通安全文明示范路创建活动方案》，进一步加强国省道（不含高速公路，下同）交通安全管理，切实改善通行秩序，减少交通事故，全面提升国省道现代治理能力和水平，省人民政府办公厅发布了《广东省人民政府办公厅关于印发广东省国省道交通安全文明示范路创建活动实施方案的通知》，决定自2020年至2022年在全省范围内开展国省道交通安全文明示范路创建活动。</w:t>
      </w:r>
    </w:p>
    <w:p>
      <w:pPr>
        <w:ind w:firstLine="480"/>
        <w:jc w:val="both"/>
      </w:pPr>
      <w:r>
        <w:rPr>
          <w:b/>
          <w:color w:val="000000"/>
          <w:sz w:val="21"/>
        </w:rPr>
        <w:t>（二）指导思想:</w:t>
      </w:r>
      <w:r>
        <w:rPr>
          <w:color w:val="000000"/>
          <w:sz w:val="24"/>
        </w:rPr>
        <w:t>以习近平新时代中国特色社会主义思想为指导，认真贯彻落实习近平总书记在全国公安工作会议上的重要讲话精神和关于安全生产工作的重要指示精神，牢固树立安全发展理念，通过本期项目的建设，推动完善交通安全基础设施，调整优化勤务管理模式，改进提升路面管控水平，改善国省道通行秩序，预防和减少交通事故，引领公路交通现代治理能力和水平整体提升，全力营造安全、畅通、有序、和谐的公路通行环境，不断提高群众出行安全感、获得感和满意度。</w:t>
      </w:r>
    </w:p>
    <w:p>
      <w:pPr>
        <w:ind w:firstLine="480"/>
        <w:jc w:val="both"/>
      </w:pPr>
      <w:r>
        <w:rPr>
          <w:b/>
          <w:color w:val="000000"/>
          <w:sz w:val="21"/>
        </w:rPr>
        <w:t>（三）项目内容</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89"/>
        <w:gridCol w:w="1565"/>
        <w:gridCol w:w="4383"/>
        <w:gridCol w:w="589"/>
        <w:gridCol w:w="589"/>
        <w:gridCol w:w="589"/>
      </w:tblGrid>
      <w:tr>
        <w:tc>
          <w:tcPr>
            <w:tcW w:type="dxa" w:w="589"/>
            <w:tcBorders>
              <w:top w:val="single" w:color="000000" w:sz="4"/>
              <w:left w:val="single" w:color="000000" w:sz="4"/>
              <w:bottom w:val="single" w:color="000000" w:sz="4"/>
              <w:right w:val="single" w:color="000000" w:sz="4"/>
            </w:tcBorders>
          </w:tcPr>
          <w:p>
            <w:pPr>
              <w:jc w:val="center"/>
            </w:pPr>
            <w:r>
              <w:rPr>
                <w:b/>
                <w:color w:val="000000"/>
                <w:sz w:val="22"/>
              </w:rPr>
              <w:t>序号</w:t>
            </w:r>
          </w:p>
        </w:tc>
        <w:tc>
          <w:tcPr>
            <w:tcW w:type="dxa" w:w="1565"/>
            <w:tcBorders>
              <w:top w:val="single" w:color="000000" w:sz="4"/>
              <w:left w:val="none" w:color="000000" w:sz="4"/>
              <w:bottom w:val="single" w:color="000000" w:sz="4"/>
              <w:right w:val="single" w:color="000000" w:sz="4"/>
            </w:tcBorders>
          </w:tcPr>
          <w:p>
            <w:pPr>
              <w:jc w:val="center"/>
            </w:pPr>
            <w:r>
              <w:rPr>
                <w:b/>
                <w:color w:val="000000"/>
                <w:sz w:val="22"/>
              </w:rPr>
              <w:t>单项名称</w:t>
            </w:r>
          </w:p>
        </w:tc>
        <w:tc>
          <w:tcPr>
            <w:tcW w:type="dxa" w:w="4383"/>
            <w:tcBorders>
              <w:top w:val="single" w:color="000000" w:sz="4"/>
              <w:left w:val="none" w:color="000000" w:sz="4"/>
              <w:bottom w:val="single" w:color="000000" w:sz="4"/>
              <w:right w:val="single" w:color="000000" w:sz="4"/>
            </w:tcBorders>
          </w:tcPr>
          <w:p>
            <w:pPr>
              <w:jc w:val="center"/>
            </w:pPr>
            <w:r>
              <w:rPr>
                <w:b/>
                <w:color w:val="000000"/>
                <w:sz w:val="22"/>
              </w:rPr>
              <w:t>主要内容</w:t>
            </w:r>
          </w:p>
        </w:tc>
        <w:tc>
          <w:tcPr>
            <w:tcW w:type="dxa" w:w="589"/>
            <w:tcBorders>
              <w:top w:val="single" w:color="000000" w:sz="4"/>
              <w:left w:val="none" w:color="000000" w:sz="4"/>
              <w:bottom w:val="single" w:color="000000" w:sz="4"/>
              <w:right w:val="single" w:color="000000" w:sz="4"/>
            </w:tcBorders>
          </w:tcPr>
          <w:p>
            <w:pPr>
              <w:jc w:val="center"/>
            </w:pPr>
            <w:r>
              <w:rPr>
                <w:b/>
                <w:color w:val="000000"/>
                <w:sz w:val="22"/>
              </w:rPr>
              <w:t>数量</w:t>
            </w:r>
          </w:p>
        </w:tc>
        <w:tc>
          <w:tcPr>
            <w:tcW w:type="dxa" w:w="589"/>
            <w:tcBorders>
              <w:top w:val="single" w:color="000000" w:sz="4"/>
              <w:left w:val="none" w:color="000000" w:sz="4"/>
              <w:bottom w:val="single" w:color="000000" w:sz="4"/>
              <w:right w:val="single" w:color="000000" w:sz="4"/>
            </w:tcBorders>
          </w:tcPr>
          <w:p>
            <w:pPr>
              <w:jc w:val="center"/>
            </w:pPr>
            <w:r>
              <w:rPr>
                <w:b/>
                <w:color w:val="000000"/>
                <w:sz w:val="22"/>
              </w:rPr>
              <w:t>单位</w:t>
            </w:r>
          </w:p>
        </w:tc>
        <w:tc>
          <w:tcPr>
            <w:tcW w:type="dxa" w:w="589"/>
            <w:tcBorders>
              <w:top w:val="single" w:color="000000" w:sz="4"/>
              <w:left w:val="none" w:color="000000" w:sz="4"/>
              <w:bottom w:val="single" w:color="000000" w:sz="4"/>
              <w:right w:val="single" w:color="000000" w:sz="4"/>
            </w:tcBorders>
          </w:tcPr>
          <w:p>
            <w:pPr>
              <w:jc w:val="center"/>
            </w:pPr>
            <w:r>
              <w:rPr>
                <w:b/>
                <w:color w:val="000000"/>
                <w:sz w:val="22"/>
              </w:rPr>
              <w:t>备注</w:t>
            </w:r>
          </w:p>
        </w:tc>
      </w:tr>
      <w:tr>
        <w:tc>
          <w:tcPr>
            <w:tcW w:type="dxa" w:w="589"/>
            <w:tcBorders>
              <w:top w:val="none" w:color="000000" w:sz="4"/>
              <w:left w:val="single" w:color="000000" w:sz="4"/>
              <w:bottom w:val="single" w:color="000000" w:sz="4"/>
              <w:right w:val="single" w:color="000000" w:sz="4"/>
            </w:tcBorders>
          </w:tcPr>
          <w:p>
            <w:pPr>
              <w:jc w:val="center"/>
            </w:pPr>
            <w:r>
              <w:rPr>
                <w:color w:val="000000"/>
                <w:sz w:val="22"/>
              </w:rPr>
              <w:t>1</w:t>
            </w:r>
          </w:p>
        </w:tc>
        <w:tc>
          <w:tcPr>
            <w:tcW w:type="dxa" w:w="1565"/>
            <w:tcBorders>
              <w:top w:val="none" w:color="000000" w:sz="4"/>
              <w:left w:val="none" w:color="000000" w:sz="4"/>
              <w:bottom w:val="single" w:color="000000" w:sz="4"/>
              <w:right w:val="single" w:color="000000" w:sz="4"/>
            </w:tcBorders>
          </w:tcPr>
          <w:p>
            <w:pPr>
              <w:jc w:val="center"/>
            </w:pPr>
            <w:r>
              <w:rPr>
                <w:color w:val="000000"/>
                <w:sz w:val="22"/>
              </w:rPr>
              <w:t>交通应用平台</w:t>
            </w:r>
          </w:p>
        </w:tc>
        <w:tc>
          <w:tcPr>
            <w:tcW w:type="dxa" w:w="4383"/>
            <w:tcBorders>
              <w:top w:val="none" w:color="000000" w:sz="4"/>
              <w:left w:val="none" w:color="000000" w:sz="4"/>
              <w:bottom w:val="single" w:color="000000" w:sz="4"/>
              <w:right w:val="single" w:color="000000" w:sz="4"/>
            </w:tcBorders>
          </w:tcPr>
          <w:p>
            <w:pPr>
              <w:jc w:val="left"/>
            </w:pPr>
            <w:r>
              <w:rPr>
                <w:color w:val="000000"/>
                <w:sz w:val="22"/>
              </w:rPr>
              <w:t>按照部局和省交管局要求，在公安交通集成指挥平台基础之上，主要针对国省道交通管理业务，在专网进行扩充建设，接入本期项目新建及现状已建的前端基础应用系统，满足地市支队、大队以及中队/交通执法服务站的实际业务需求。</w:t>
            </w:r>
          </w:p>
        </w:tc>
        <w:tc>
          <w:tcPr>
            <w:tcW w:type="dxa" w:w="589"/>
            <w:tcBorders>
              <w:top w:val="none" w:color="000000" w:sz="4"/>
              <w:left w:val="none" w:color="000000" w:sz="4"/>
              <w:bottom w:val="single" w:color="000000" w:sz="4"/>
              <w:right w:val="single" w:color="000000" w:sz="4"/>
            </w:tcBorders>
          </w:tcPr>
          <w:p>
            <w:pPr>
              <w:jc w:val="center"/>
            </w:pPr>
            <w:r>
              <w:rPr>
                <w:color w:val="000000"/>
                <w:sz w:val="22"/>
              </w:rPr>
              <w:t>1</w:t>
            </w:r>
          </w:p>
        </w:tc>
        <w:tc>
          <w:tcPr>
            <w:tcW w:type="dxa" w:w="589"/>
            <w:tcBorders>
              <w:top w:val="none" w:color="000000" w:sz="4"/>
              <w:left w:val="none" w:color="000000" w:sz="4"/>
              <w:bottom w:val="single" w:color="000000" w:sz="4"/>
              <w:right w:val="single" w:color="000000" w:sz="4"/>
            </w:tcBorders>
          </w:tcPr>
          <w:p>
            <w:pPr>
              <w:jc w:val="center"/>
            </w:pPr>
            <w:r>
              <w:rPr>
                <w:color w:val="000000"/>
                <w:sz w:val="22"/>
              </w:rPr>
              <w:t>项</w:t>
            </w:r>
          </w:p>
        </w:tc>
        <w:tc>
          <w:tcPr>
            <w:tcW w:type="dxa" w:w="589"/>
            <w:tcBorders>
              <w:top w:val="none" w:color="000000" w:sz="4"/>
              <w:left w:val="none" w:color="000000" w:sz="4"/>
              <w:bottom w:val="single" w:color="000000" w:sz="4"/>
              <w:right w:val="single" w:color="000000" w:sz="4"/>
            </w:tcBorders>
          </w:tcPr>
          <w:p>
            <w:pPr>
              <w:jc w:val="left"/>
            </w:pPr>
            <w:r>
              <w:rPr>
                <w:sz w:val="21"/>
              </w:rPr>
              <w:t>　</w:t>
            </w:r>
          </w:p>
        </w:tc>
      </w:tr>
      <w:tr>
        <w:tc>
          <w:tcPr>
            <w:tcW w:type="dxa" w:w="589"/>
            <w:tcBorders>
              <w:top w:val="none" w:color="000000" w:sz="4"/>
              <w:left w:val="single" w:color="000000" w:sz="4"/>
              <w:bottom w:val="single" w:color="000000" w:sz="4"/>
              <w:right w:val="single" w:color="000000" w:sz="4"/>
            </w:tcBorders>
          </w:tcPr>
          <w:p>
            <w:pPr>
              <w:jc w:val="center"/>
            </w:pPr>
            <w:r>
              <w:rPr>
                <w:color w:val="000000"/>
                <w:sz w:val="22"/>
              </w:rPr>
              <w:t>2</w:t>
            </w:r>
          </w:p>
        </w:tc>
        <w:tc>
          <w:tcPr>
            <w:tcW w:type="dxa" w:w="1565"/>
            <w:tcBorders>
              <w:top w:val="none" w:color="000000" w:sz="4"/>
              <w:left w:val="none" w:color="000000" w:sz="4"/>
              <w:bottom w:val="single" w:color="000000" w:sz="4"/>
              <w:right w:val="single" w:color="000000" w:sz="4"/>
            </w:tcBorders>
          </w:tcPr>
          <w:p>
            <w:pPr>
              <w:jc w:val="center"/>
            </w:pPr>
            <w:r>
              <w:rPr>
                <w:color w:val="000000"/>
                <w:sz w:val="22"/>
              </w:rPr>
              <w:t>道路车辆智能监测</w:t>
            </w:r>
          </w:p>
        </w:tc>
        <w:tc>
          <w:tcPr>
            <w:tcW w:type="dxa" w:w="4383"/>
            <w:tcBorders>
              <w:top w:val="none" w:color="000000" w:sz="4"/>
              <w:left w:val="none" w:color="000000" w:sz="4"/>
              <w:bottom w:val="single" w:color="000000" w:sz="4"/>
              <w:right w:val="single" w:color="000000" w:sz="4"/>
            </w:tcBorders>
          </w:tcPr>
          <w:p>
            <w:pPr>
              <w:jc w:val="left"/>
            </w:pPr>
            <w:r>
              <w:rPr>
                <w:color w:val="000000"/>
                <w:sz w:val="22"/>
              </w:rPr>
              <w:t>分别在国道上的埔前交通稽查站南北2个方向、埔前中队前南往北方向共3个位置新建6套电子警察抓拍系统及相应配套基础设施；</w:t>
            </w:r>
          </w:p>
        </w:tc>
        <w:tc>
          <w:tcPr>
            <w:tcW w:type="dxa" w:w="589"/>
            <w:tcBorders>
              <w:top w:val="none" w:color="000000" w:sz="4"/>
              <w:left w:val="none" w:color="000000" w:sz="4"/>
              <w:bottom w:val="single" w:color="000000" w:sz="4"/>
              <w:right w:val="single" w:color="000000" w:sz="4"/>
            </w:tcBorders>
          </w:tcPr>
          <w:p>
            <w:pPr>
              <w:jc w:val="center"/>
            </w:pPr>
            <w:r>
              <w:rPr>
                <w:color w:val="000000"/>
                <w:sz w:val="22"/>
              </w:rPr>
              <w:t>1</w:t>
            </w:r>
          </w:p>
        </w:tc>
        <w:tc>
          <w:tcPr>
            <w:tcW w:type="dxa" w:w="589"/>
            <w:tcBorders>
              <w:top w:val="none" w:color="000000" w:sz="4"/>
              <w:left w:val="none" w:color="000000" w:sz="4"/>
              <w:bottom w:val="single" w:color="000000" w:sz="4"/>
              <w:right w:val="single" w:color="000000" w:sz="4"/>
            </w:tcBorders>
          </w:tcPr>
          <w:p>
            <w:pPr>
              <w:jc w:val="center"/>
            </w:pPr>
            <w:r>
              <w:rPr>
                <w:color w:val="000000"/>
                <w:sz w:val="22"/>
              </w:rPr>
              <w:t>项</w:t>
            </w:r>
          </w:p>
        </w:tc>
        <w:tc>
          <w:tcPr>
            <w:tcW w:type="dxa" w:w="589"/>
            <w:tcBorders>
              <w:top w:val="none" w:color="000000" w:sz="4"/>
              <w:left w:val="none" w:color="000000" w:sz="4"/>
              <w:bottom w:val="single" w:color="000000" w:sz="4"/>
              <w:right w:val="single" w:color="000000" w:sz="4"/>
            </w:tcBorders>
          </w:tcPr>
          <w:p>
            <w:pPr>
              <w:jc w:val="left"/>
            </w:pPr>
            <w:r>
              <w:rPr>
                <w:sz w:val="21"/>
              </w:rPr>
              <w:t>　</w:t>
            </w:r>
          </w:p>
        </w:tc>
      </w:tr>
      <w:tr>
        <w:tc>
          <w:tcPr>
            <w:tcW w:type="dxa" w:w="589"/>
            <w:tcBorders>
              <w:top w:val="none" w:color="000000" w:sz="4"/>
              <w:left w:val="single" w:color="000000" w:sz="4"/>
              <w:bottom w:val="single" w:color="000000" w:sz="4"/>
              <w:right w:val="single" w:color="000000" w:sz="4"/>
            </w:tcBorders>
          </w:tcPr>
          <w:p>
            <w:pPr>
              <w:jc w:val="center"/>
            </w:pPr>
            <w:r>
              <w:rPr>
                <w:color w:val="000000"/>
                <w:sz w:val="22"/>
              </w:rPr>
              <w:t>3</w:t>
            </w:r>
          </w:p>
        </w:tc>
        <w:tc>
          <w:tcPr>
            <w:tcW w:type="dxa" w:w="1565"/>
            <w:tcBorders>
              <w:top w:val="none" w:color="000000" w:sz="4"/>
              <w:left w:val="none" w:color="000000" w:sz="4"/>
              <w:bottom w:val="single" w:color="000000" w:sz="4"/>
              <w:right w:val="single" w:color="000000" w:sz="4"/>
            </w:tcBorders>
          </w:tcPr>
          <w:p>
            <w:pPr>
              <w:jc w:val="center"/>
            </w:pPr>
            <w:r>
              <w:rPr>
                <w:color w:val="000000"/>
                <w:sz w:val="22"/>
              </w:rPr>
              <w:t>交通信息发布</w:t>
            </w:r>
          </w:p>
        </w:tc>
        <w:tc>
          <w:tcPr>
            <w:tcW w:type="dxa" w:w="4383"/>
            <w:tcBorders>
              <w:top w:val="none" w:color="000000" w:sz="4"/>
              <w:left w:val="none" w:color="000000" w:sz="4"/>
              <w:bottom w:val="single" w:color="000000" w:sz="4"/>
              <w:right w:val="single" w:color="000000" w:sz="4"/>
            </w:tcBorders>
          </w:tcPr>
          <w:p>
            <w:pPr>
              <w:jc w:val="left"/>
            </w:pPr>
            <w:r>
              <w:rPr>
                <w:color w:val="000000"/>
                <w:sz w:val="22"/>
              </w:rPr>
              <w:t>在埔前交通稽查站道路的两个方向新建2套LED信息发布屏；</w:t>
            </w:r>
          </w:p>
        </w:tc>
        <w:tc>
          <w:tcPr>
            <w:tcW w:type="dxa" w:w="589"/>
            <w:tcBorders>
              <w:top w:val="none" w:color="000000" w:sz="4"/>
              <w:left w:val="none" w:color="000000" w:sz="4"/>
              <w:bottom w:val="single" w:color="000000" w:sz="4"/>
              <w:right w:val="single" w:color="000000" w:sz="4"/>
            </w:tcBorders>
          </w:tcPr>
          <w:p>
            <w:pPr>
              <w:jc w:val="center"/>
            </w:pPr>
            <w:r>
              <w:rPr>
                <w:color w:val="000000"/>
                <w:sz w:val="22"/>
              </w:rPr>
              <w:t>1</w:t>
            </w:r>
          </w:p>
        </w:tc>
        <w:tc>
          <w:tcPr>
            <w:tcW w:type="dxa" w:w="589"/>
            <w:tcBorders>
              <w:top w:val="none" w:color="000000" w:sz="4"/>
              <w:left w:val="none" w:color="000000" w:sz="4"/>
              <w:bottom w:val="single" w:color="000000" w:sz="4"/>
              <w:right w:val="single" w:color="000000" w:sz="4"/>
            </w:tcBorders>
          </w:tcPr>
          <w:p>
            <w:pPr>
              <w:jc w:val="center"/>
            </w:pPr>
            <w:r>
              <w:rPr>
                <w:color w:val="000000"/>
                <w:sz w:val="22"/>
              </w:rPr>
              <w:t>项</w:t>
            </w:r>
          </w:p>
        </w:tc>
        <w:tc>
          <w:tcPr>
            <w:tcW w:type="dxa" w:w="589"/>
            <w:tcBorders>
              <w:top w:val="none" w:color="000000" w:sz="4"/>
              <w:left w:val="none" w:color="000000" w:sz="4"/>
              <w:bottom w:val="single" w:color="000000" w:sz="4"/>
              <w:right w:val="single" w:color="000000" w:sz="4"/>
            </w:tcBorders>
          </w:tcPr>
          <w:p>
            <w:pPr>
              <w:jc w:val="left"/>
            </w:pPr>
            <w:r>
              <w:rPr>
                <w:sz w:val="21"/>
              </w:rPr>
              <w:t>　</w:t>
            </w:r>
          </w:p>
        </w:tc>
      </w:tr>
      <w:tr>
        <w:tc>
          <w:tcPr>
            <w:tcW w:type="dxa" w:w="589"/>
            <w:tcBorders>
              <w:top w:val="none" w:color="000000" w:sz="4"/>
              <w:left w:val="single" w:color="000000" w:sz="4"/>
              <w:bottom w:val="single" w:color="000000" w:sz="4"/>
              <w:right w:val="single" w:color="000000" w:sz="4"/>
            </w:tcBorders>
          </w:tcPr>
          <w:p>
            <w:pPr>
              <w:jc w:val="center"/>
            </w:pPr>
            <w:r>
              <w:rPr>
                <w:color w:val="000000"/>
                <w:sz w:val="22"/>
              </w:rPr>
              <w:t>4</w:t>
            </w:r>
          </w:p>
        </w:tc>
        <w:tc>
          <w:tcPr>
            <w:tcW w:type="dxa" w:w="1565"/>
            <w:tcBorders>
              <w:top w:val="none" w:color="000000" w:sz="4"/>
              <w:left w:val="none" w:color="000000" w:sz="4"/>
              <w:bottom w:val="single" w:color="000000" w:sz="4"/>
              <w:right w:val="single" w:color="000000" w:sz="4"/>
            </w:tcBorders>
          </w:tcPr>
          <w:p>
            <w:pPr>
              <w:jc w:val="center"/>
            </w:pPr>
            <w:r>
              <w:rPr>
                <w:color w:val="000000"/>
                <w:sz w:val="22"/>
              </w:rPr>
              <w:t>视频监控部分</w:t>
            </w:r>
          </w:p>
        </w:tc>
        <w:tc>
          <w:tcPr>
            <w:tcW w:type="dxa" w:w="4383"/>
            <w:tcBorders>
              <w:top w:val="none" w:color="000000" w:sz="4"/>
              <w:left w:val="none" w:color="000000" w:sz="4"/>
              <w:bottom w:val="single" w:color="000000" w:sz="4"/>
              <w:right w:val="single" w:color="000000" w:sz="4"/>
            </w:tcBorders>
          </w:tcPr>
          <w:p>
            <w:pPr>
              <w:jc w:val="left"/>
            </w:pPr>
            <w:r>
              <w:rPr>
                <w:color w:val="000000"/>
                <w:sz w:val="22"/>
              </w:rPr>
              <w:t>分别在11个乡道以上公路平交路口及11个村道出入口、埔前交通稽查站道路的两个方向部署视频监控摄像头，共24套；</w:t>
            </w:r>
          </w:p>
        </w:tc>
        <w:tc>
          <w:tcPr>
            <w:tcW w:type="dxa" w:w="589"/>
            <w:tcBorders>
              <w:top w:val="none" w:color="000000" w:sz="4"/>
              <w:left w:val="none" w:color="000000" w:sz="4"/>
              <w:bottom w:val="single" w:color="000000" w:sz="4"/>
              <w:right w:val="single" w:color="000000" w:sz="4"/>
            </w:tcBorders>
          </w:tcPr>
          <w:p>
            <w:pPr>
              <w:jc w:val="center"/>
            </w:pPr>
            <w:r>
              <w:rPr>
                <w:color w:val="000000"/>
                <w:sz w:val="22"/>
              </w:rPr>
              <w:t>1</w:t>
            </w:r>
          </w:p>
        </w:tc>
        <w:tc>
          <w:tcPr>
            <w:tcW w:type="dxa" w:w="589"/>
            <w:tcBorders>
              <w:top w:val="none" w:color="000000" w:sz="4"/>
              <w:left w:val="none" w:color="000000" w:sz="4"/>
              <w:bottom w:val="single" w:color="000000" w:sz="4"/>
              <w:right w:val="single" w:color="000000" w:sz="4"/>
            </w:tcBorders>
          </w:tcPr>
          <w:p>
            <w:pPr>
              <w:jc w:val="center"/>
            </w:pPr>
            <w:r>
              <w:rPr>
                <w:color w:val="000000"/>
                <w:sz w:val="22"/>
              </w:rPr>
              <w:t>项</w:t>
            </w:r>
          </w:p>
        </w:tc>
        <w:tc>
          <w:tcPr>
            <w:tcW w:type="dxa" w:w="589"/>
            <w:tcBorders>
              <w:top w:val="none" w:color="000000" w:sz="4"/>
              <w:left w:val="none" w:color="000000" w:sz="4"/>
              <w:bottom w:val="single" w:color="000000" w:sz="4"/>
              <w:right w:val="single" w:color="000000" w:sz="4"/>
            </w:tcBorders>
          </w:tcPr>
          <w:p>
            <w:pPr>
              <w:jc w:val="left"/>
            </w:pPr>
            <w:r>
              <w:rPr>
                <w:sz w:val="21"/>
              </w:rPr>
              <w:t>　</w:t>
            </w:r>
          </w:p>
        </w:tc>
      </w:tr>
      <w:tr>
        <w:tc>
          <w:tcPr>
            <w:tcW w:type="dxa" w:w="589"/>
            <w:tcBorders>
              <w:top w:val="none" w:color="000000" w:sz="4"/>
              <w:left w:val="single" w:color="000000" w:sz="4"/>
              <w:bottom w:val="single" w:color="000000" w:sz="4"/>
              <w:right w:val="single" w:color="000000" w:sz="4"/>
            </w:tcBorders>
          </w:tcPr>
          <w:p>
            <w:pPr>
              <w:jc w:val="center"/>
            </w:pPr>
            <w:r>
              <w:rPr>
                <w:color w:val="000000"/>
                <w:sz w:val="22"/>
              </w:rPr>
              <w:t>5</w:t>
            </w:r>
          </w:p>
        </w:tc>
        <w:tc>
          <w:tcPr>
            <w:tcW w:type="dxa" w:w="1565"/>
            <w:tcBorders>
              <w:top w:val="none" w:color="000000" w:sz="4"/>
              <w:left w:val="none" w:color="000000" w:sz="4"/>
              <w:bottom w:val="single" w:color="000000" w:sz="4"/>
              <w:right w:val="single" w:color="000000" w:sz="4"/>
            </w:tcBorders>
          </w:tcPr>
          <w:p>
            <w:pPr>
              <w:jc w:val="center"/>
            </w:pPr>
            <w:r>
              <w:rPr>
                <w:color w:val="000000"/>
                <w:sz w:val="22"/>
              </w:rPr>
              <w:t>硬件及存储</w:t>
            </w:r>
          </w:p>
        </w:tc>
        <w:tc>
          <w:tcPr>
            <w:tcW w:type="dxa" w:w="4383"/>
            <w:tcBorders>
              <w:top w:val="none" w:color="000000" w:sz="4"/>
              <w:left w:val="none" w:color="000000" w:sz="4"/>
              <w:bottom w:val="single" w:color="000000" w:sz="4"/>
              <w:right w:val="single" w:color="000000" w:sz="4"/>
            </w:tcBorders>
          </w:tcPr>
          <w:p>
            <w:pPr>
              <w:jc w:val="left"/>
            </w:pPr>
            <w:r>
              <w:rPr>
                <w:color w:val="000000"/>
                <w:sz w:val="22"/>
              </w:rPr>
              <w:t>相关的子项硬件及存储、前端基础配套设备</w:t>
            </w:r>
          </w:p>
        </w:tc>
        <w:tc>
          <w:tcPr>
            <w:tcW w:type="dxa" w:w="589"/>
            <w:tcBorders>
              <w:top w:val="none" w:color="000000" w:sz="4"/>
              <w:left w:val="none" w:color="000000" w:sz="4"/>
              <w:bottom w:val="single" w:color="000000" w:sz="4"/>
              <w:right w:val="single" w:color="000000" w:sz="4"/>
            </w:tcBorders>
          </w:tcPr>
          <w:p>
            <w:pPr>
              <w:jc w:val="center"/>
            </w:pPr>
            <w:r>
              <w:rPr>
                <w:color w:val="000000"/>
                <w:sz w:val="22"/>
              </w:rPr>
              <w:t>1</w:t>
            </w:r>
          </w:p>
        </w:tc>
        <w:tc>
          <w:tcPr>
            <w:tcW w:type="dxa" w:w="589"/>
            <w:tcBorders>
              <w:top w:val="none" w:color="000000" w:sz="4"/>
              <w:left w:val="none" w:color="000000" w:sz="4"/>
              <w:bottom w:val="single" w:color="000000" w:sz="4"/>
              <w:right w:val="single" w:color="000000" w:sz="4"/>
            </w:tcBorders>
          </w:tcPr>
          <w:p>
            <w:pPr>
              <w:jc w:val="center"/>
            </w:pPr>
            <w:r>
              <w:rPr>
                <w:color w:val="000000"/>
                <w:sz w:val="22"/>
              </w:rPr>
              <w:t>项</w:t>
            </w:r>
          </w:p>
        </w:tc>
        <w:tc>
          <w:tcPr>
            <w:tcW w:type="dxa" w:w="589"/>
            <w:tcBorders>
              <w:top w:val="none" w:color="000000" w:sz="4"/>
              <w:left w:val="none" w:color="000000" w:sz="4"/>
              <w:bottom w:val="single" w:color="000000" w:sz="4"/>
              <w:right w:val="single" w:color="000000" w:sz="4"/>
            </w:tcBorders>
          </w:tcPr>
          <w:p>
            <w:pPr>
              <w:jc w:val="left"/>
            </w:pPr>
            <w:r>
              <w:rPr>
                <w:sz w:val="21"/>
              </w:rPr>
              <w:t>　</w:t>
            </w:r>
          </w:p>
        </w:tc>
      </w:tr>
      <w:tr>
        <w:tc>
          <w:tcPr>
            <w:tcW w:type="dxa" w:w="589"/>
            <w:tcBorders>
              <w:top w:val="none" w:color="000000" w:sz="4"/>
              <w:left w:val="single" w:color="000000" w:sz="4"/>
              <w:bottom w:val="single" w:color="000000" w:sz="4"/>
              <w:right w:val="single" w:color="000000" w:sz="4"/>
            </w:tcBorders>
          </w:tcPr>
          <w:p>
            <w:pPr>
              <w:jc w:val="center"/>
            </w:pPr>
            <w:r>
              <w:rPr>
                <w:color w:val="000000"/>
                <w:sz w:val="22"/>
              </w:rPr>
              <w:t>6</w:t>
            </w:r>
          </w:p>
        </w:tc>
        <w:tc>
          <w:tcPr>
            <w:tcW w:type="dxa" w:w="1565"/>
            <w:tcBorders>
              <w:top w:val="none" w:color="000000" w:sz="4"/>
              <w:left w:val="none" w:color="000000" w:sz="4"/>
              <w:bottom w:val="single" w:color="000000" w:sz="4"/>
              <w:right w:val="single" w:color="000000" w:sz="4"/>
            </w:tcBorders>
          </w:tcPr>
          <w:p>
            <w:pPr>
              <w:jc w:val="center"/>
            </w:pPr>
            <w:r>
              <w:rPr>
                <w:color w:val="000000"/>
                <w:sz w:val="22"/>
              </w:rPr>
              <w:t>中队指挥室及执法站岗亭</w:t>
            </w:r>
          </w:p>
        </w:tc>
        <w:tc>
          <w:tcPr>
            <w:tcW w:type="dxa" w:w="4383"/>
            <w:tcBorders>
              <w:top w:val="none" w:color="000000" w:sz="4"/>
              <w:left w:val="none" w:color="000000" w:sz="4"/>
              <w:bottom w:val="single" w:color="000000" w:sz="4"/>
              <w:right w:val="single" w:color="000000" w:sz="4"/>
            </w:tcBorders>
          </w:tcPr>
          <w:p>
            <w:pPr>
              <w:jc w:val="left"/>
            </w:pPr>
            <w:r>
              <w:rPr>
                <w:color w:val="000000"/>
                <w:sz w:val="22"/>
              </w:rPr>
              <w:t>中队指挥室（埔前中队、东埔中队、城镇中队、高新区中队）大屏及配套改造工程；</w:t>
            </w:r>
          </w:p>
        </w:tc>
        <w:tc>
          <w:tcPr>
            <w:tcW w:type="dxa" w:w="589"/>
            <w:tcBorders>
              <w:top w:val="none" w:color="000000" w:sz="4"/>
              <w:left w:val="none" w:color="000000" w:sz="4"/>
              <w:bottom w:val="single" w:color="000000" w:sz="4"/>
              <w:right w:val="single" w:color="000000" w:sz="4"/>
            </w:tcBorders>
          </w:tcPr>
          <w:p>
            <w:pPr>
              <w:jc w:val="center"/>
            </w:pPr>
            <w:r>
              <w:rPr>
                <w:color w:val="000000"/>
                <w:sz w:val="22"/>
              </w:rPr>
              <w:t>1</w:t>
            </w:r>
          </w:p>
        </w:tc>
        <w:tc>
          <w:tcPr>
            <w:tcW w:type="dxa" w:w="589"/>
            <w:tcBorders>
              <w:top w:val="none" w:color="000000" w:sz="4"/>
              <w:left w:val="none" w:color="000000" w:sz="4"/>
              <w:bottom w:val="single" w:color="000000" w:sz="4"/>
              <w:right w:val="single" w:color="000000" w:sz="4"/>
            </w:tcBorders>
          </w:tcPr>
          <w:p>
            <w:pPr>
              <w:jc w:val="center"/>
            </w:pPr>
            <w:r>
              <w:rPr>
                <w:color w:val="000000"/>
                <w:sz w:val="22"/>
              </w:rPr>
              <w:t>项</w:t>
            </w:r>
          </w:p>
        </w:tc>
        <w:tc>
          <w:tcPr>
            <w:tcW w:type="dxa" w:w="589"/>
            <w:tcBorders>
              <w:top w:val="none" w:color="000000" w:sz="4"/>
              <w:left w:val="none" w:color="000000" w:sz="4"/>
              <w:bottom w:val="single" w:color="000000" w:sz="4"/>
              <w:right w:val="single" w:color="000000" w:sz="4"/>
            </w:tcBorders>
          </w:tcPr>
          <w:p>
            <w:pPr>
              <w:jc w:val="left"/>
            </w:pPr>
            <w:r>
              <w:rPr>
                <w:sz w:val="21"/>
              </w:rPr>
              <w:t>　</w:t>
            </w:r>
          </w:p>
        </w:tc>
      </w:tr>
    </w:tbl>
    <w:p>
      <w:pPr>
        <w:jc w:val="both"/>
      </w:pPr>
      <w:r>
        <w:rPr>
          <w:b/>
          <w:color w:val="000000"/>
          <w:sz w:val="24"/>
        </w:rPr>
        <w:t xml:space="preserve"> （四）目标任务</w:t>
      </w:r>
    </w:p>
    <w:p>
      <w:pPr>
        <w:ind w:firstLine="480"/>
        <w:jc w:val="both"/>
      </w:pPr>
      <w:r>
        <w:rPr>
          <w:color w:val="000000"/>
          <w:sz w:val="24"/>
        </w:rPr>
        <w:t>1.</w:t>
      </w:r>
      <w:r>
        <w:rPr>
          <w:color w:val="000000"/>
          <w:sz w:val="24"/>
        </w:rPr>
        <w:t>安全隐患明显减少。示范路沿线乡道以上公路平交路口，交通信号灯、减速带等设施应设尽设；符合公路行业标准双向四车道以上公路中央隔离带应设尽设；近3年发生过翻坠交通事故的急弯陡坡、临水临崖、长下坡等重要路段，路侧护栏、警示标志等安全设施应设尽设，示范路沿线村道出入口“平安村口”应设尽设。近10年发生过重特大交通事故的国省道路段交通安全设施完好率达到100%。</w:t>
      </w:r>
    </w:p>
    <w:p>
      <w:pPr>
        <w:ind w:firstLine="480"/>
        <w:jc w:val="both"/>
      </w:pPr>
      <w:r>
        <w:rPr>
          <w:color w:val="000000"/>
          <w:sz w:val="24"/>
        </w:rPr>
        <w:t>2.</w:t>
      </w:r>
      <w:r>
        <w:rPr>
          <w:color w:val="000000"/>
          <w:sz w:val="24"/>
        </w:rPr>
        <w:t>通行秩序明显好转。示范路机动车逆行、闯红灯、不按规定让行、违法超车、违法会车、不按规定车道行驶等显见违法行为百车发生率低于20%。摩托车、电动自行车、三轮汽车闯红灯、逆行及行人翻越护栏横穿公路等违法行为发生率低于20%。汽车驾驶人、乘车人安全带使用率，摩托车、电动自行车驾驶人安全头盔佩戴率分别达到90%、80%、90%、70%以上。</w:t>
      </w:r>
    </w:p>
    <w:p>
      <w:pPr>
        <w:ind w:firstLine="480"/>
        <w:jc w:val="both"/>
      </w:pPr>
      <w:r>
        <w:rPr>
          <w:color w:val="000000"/>
          <w:sz w:val="24"/>
        </w:rPr>
        <w:t>3.</w:t>
      </w:r>
      <w:r>
        <w:rPr>
          <w:color w:val="000000"/>
          <w:sz w:val="24"/>
        </w:rPr>
        <w:t>管控效能明显提升。打造数字警务室，建立完善“情指勤督”指挥调度体系，健全网上网下结合巡逻模式，深化公路交通安全防控体系建设应用，提升路面查控的针对性、精准度和实效性。示范路每10公里设置1处卡口系统，并联网接入公安交通集成指挥平台，就近与执法站关联，卡口日间识别准确率达到80%以上、预警拦截率达到80%以上、处罚一致率达到90%以上。</w:t>
      </w:r>
    </w:p>
    <w:p>
      <w:pPr>
        <w:ind w:firstLine="480"/>
        <w:jc w:val="both"/>
      </w:pPr>
      <w:r>
        <w:rPr>
          <w:color w:val="000000"/>
          <w:sz w:val="24"/>
        </w:rPr>
        <w:t>4.</w:t>
      </w:r>
      <w:r>
        <w:rPr>
          <w:color w:val="000000"/>
          <w:sz w:val="24"/>
        </w:rPr>
        <w:t>队伍建设更加规范。按照标准规范设置交警中队用房以及配备执勤执法、事故勘查、安全防护等基础设备，结合农村“派出所+交警中队”警务改革优先在国省道周边配置警力和装备。示范路沿线公安交管部门的队伍和执法监督管理机制不断健全，违规违纪问题“零发生”。</w:t>
      </w:r>
    </w:p>
    <w:p>
      <w:pPr>
        <w:ind w:firstLine="480"/>
        <w:jc w:val="both"/>
      </w:pPr>
      <w:r>
        <w:rPr>
          <w:color w:val="000000"/>
          <w:sz w:val="24"/>
        </w:rPr>
        <w:t>5.</w:t>
      </w:r>
      <w:r>
        <w:rPr>
          <w:color w:val="000000"/>
          <w:sz w:val="24"/>
        </w:rPr>
        <w:t>交通事故明显下降。示范路每年交通事故死亡人数同比下降不少于6个百分点，因超速、超员、超载、酒驾醉驾、无证驾驶导致的交通事故死亡人数同比下降不少于6个百分点，一次死亡3人以上较大交通事故同比下降，不发生一次死亡10人以上重特大交通事故。</w:t>
      </w:r>
    </w:p>
    <w:p>
      <w:pPr>
        <w:ind w:firstLine="482"/>
        <w:jc w:val="both"/>
      </w:pPr>
      <w:r>
        <w:rPr>
          <w:b/>
          <w:color w:val="000000"/>
          <w:sz w:val="24"/>
        </w:rPr>
        <w:t>（五）存在问题及必要性</w:t>
      </w:r>
    </w:p>
    <w:p>
      <w:pPr>
        <w:ind w:firstLine="480"/>
        <w:jc w:val="both"/>
      </w:pPr>
      <w:r>
        <w:rPr>
          <w:color w:val="000000"/>
          <w:sz w:val="24"/>
        </w:rPr>
        <w:t>1.</w:t>
      </w:r>
      <w:r>
        <w:rPr>
          <w:color w:val="000000"/>
          <w:sz w:val="24"/>
        </w:rPr>
        <w:t>存在问题</w:t>
      </w:r>
    </w:p>
    <w:p>
      <w:pPr>
        <w:ind w:firstLine="480"/>
        <w:jc w:val="both"/>
      </w:pPr>
      <w:r>
        <w:rPr>
          <w:color w:val="000000"/>
          <w:sz w:val="24"/>
        </w:rPr>
        <w:t>（1）科技管控设施不足</w:t>
      </w:r>
    </w:p>
    <w:p>
      <w:pPr>
        <w:ind w:firstLine="480"/>
        <w:jc w:val="both"/>
      </w:pPr>
      <w:r>
        <w:rPr>
          <w:color w:val="000000"/>
          <w:sz w:val="24"/>
        </w:rPr>
        <w:t>现有公路视频监控、缉查布控卡口设备数量不足，覆盖范围不全面，公路路段信息化建设水平不均衡，没有统一的标准可遵循，导致建设的设备及系统在技术层面良莠不齐，且系统与系统之间互不相通，设备及系统的利用率不高，不能形成严密有效的查缉布控网络。</w:t>
      </w:r>
    </w:p>
    <w:p>
      <w:pPr>
        <w:ind w:firstLine="480"/>
        <w:jc w:val="both"/>
      </w:pPr>
      <w:r>
        <w:rPr>
          <w:color w:val="000000"/>
          <w:sz w:val="24"/>
        </w:rPr>
        <w:t>（2）指挥室基础设施不能满足业务应用</w:t>
      </w:r>
    </w:p>
    <w:p>
      <w:pPr>
        <w:ind w:firstLine="480"/>
        <w:jc w:val="both"/>
      </w:pPr>
      <w:r>
        <w:rPr>
          <w:color w:val="000000"/>
          <w:sz w:val="24"/>
        </w:rPr>
        <w:t>指挥室基础设施简陋，且缺乏统一的、直观的、可视化的操作界面，指挥人员无法得到宏观综合的交通态势，不满足业务应用需求。</w:t>
      </w:r>
    </w:p>
    <w:p>
      <w:pPr>
        <w:ind w:firstLine="480"/>
        <w:jc w:val="both"/>
      </w:pPr>
      <w:r>
        <w:rPr>
          <w:color w:val="000000"/>
          <w:sz w:val="24"/>
        </w:rPr>
        <w:t>2.</w:t>
      </w:r>
      <w:r>
        <w:rPr>
          <w:color w:val="000000"/>
          <w:sz w:val="24"/>
        </w:rPr>
        <w:t>建设必要性</w:t>
      </w:r>
    </w:p>
    <w:p>
      <w:pPr>
        <w:ind w:firstLine="480"/>
        <w:jc w:val="both"/>
      </w:pPr>
      <w:r>
        <w:rPr>
          <w:color w:val="000000"/>
          <w:sz w:val="24"/>
        </w:rPr>
        <w:t>根据河府办函[2021]10号《河源市人民政府办公室关于印发河源市国省道交通安全文明示范路创建活动实施方案的通知》的文件要求：“国省道交通安全文明示范路创建活动自2021年开始，到2022年底结束。综合地域分布、经济状况、公路里程、管理基础、交通运行特点、交通事故情况等因素，全省21个地市分为3类地区，我市被定为C类地区，确定205国道、105国道作为创建示范路，创建活动按照分类别创建、分阶段推进、差异化评估的原则，在二年任务目标的基础上，每年根据整体进度有序推进。（一）打造样板阶段（2021年上半年）。我市确定205国道（河源大道示范段长度23.55公里，起点桩号K2801+200，终点桩号K2824+750）为我市示范样板路，自2021年起率先创建。”，因此本项目位于市区的205国道作为示范路样板路，具有建设必要性。</w:t>
      </w:r>
    </w:p>
    <w:p>
      <w:pPr>
        <w:ind w:firstLine="480"/>
        <w:jc w:val="both"/>
      </w:pPr>
      <w:r>
        <w:rPr>
          <w:color w:val="000000"/>
          <w:sz w:val="24"/>
        </w:rPr>
        <w:t>（1）适应国省道交通发展新形势的客观需要。</w:t>
      </w:r>
    </w:p>
    <w:p>
      <w:pPr>
        <w:ind w:firstLine="480"/>
        <w:jc w:val="both"/>
      </w:pPr>
      <w:r>
        <w:rPr>
          <w:color w:val="000000"/>
          <w:sz w:val="24"/>
        </w:rPr>
        <w:t>国省道通达性高、覆盖面广，是连接不同区域的重要纽带，是促进社会经济文化发展的重要载体。近年来交通领域迎来快速发展，国省道交通属性、构成、特点也在相应调整。一是定位属性发生变化。以前国省道的定位单纯是发挥集散功能的干线公路，在交通供给催动效应下，国省道周边逐渐形成了村镇，很多路段的功能转为市政化，还有一些国省道成了景观路。二是交通构成发生变化。交通构成日趋多元化，除了私家车、电动自行车等主要车型外，还有不少农用车、老年代步车上路行驶。此外，高速公路改革收费政策、实行入口治超后，很多空载货车、超载货车选择国省道行驶，交通构成更加复杂，安全隐患更加突出。三是出行特点发生变化。以前的国省道是跨区域出行、中长途运输的首要选择，如今高速公路吸引了大量客货运交通流，国省道出行短途化、通勤化特点凸显。2017年以来，机动车保有量增长12.6%，而国道日交通量、日平均行驶量分别增长3.9%、4.2%，特别是日平均行驶量，2019年只增长1%，2018年还出现了负增长。</w:t>
      </w:r>
    </w:p>
    <w:p>
      <w:pPr>
        <w:ind w:firstLine="480"/>
        <w:jc w:val="both"/>
      </w:pPr>
      <w:r>
        <w:rPr>
          <w:color w:val="000000"/>
          <w:sz w:val="24"/>
        </w:rPr>
        <w:t>（2）实施国省道交通现代治理的必然选择</w:t>
      </w:r>
    </w:p>
    <w:p>
      <w:pPr>
        <w:ind w:firstLine="480"/>
        <w:jc w:val="both"/>
      </w:pPr>
      <w:r>
        <w:rPr>
          <w:color w:val="000000"/>
          <w:sz w:val="24"/>
        </w:rPr>
        <w:t>顺应国省道交通发展，公安交管部门制定并实施了一系列措施。2000年前后，我们开展了平安大道建设，打造了一批公路巡警中队，壮大了国省道交通管理力量。2011年前后，我们开展了文明交通示范公路创建，打造了一批秩序好、事故少的路段，探索了网上巡逻和路面管控相结合的巡控机制，为开展主干公路交通安全防控体系建设指出了方向、打下了基础。到如今又是十年过去，虽然国省道交通安全防控网络基本形成，但管控水平还有很大的提升空间，国省道交通管理还存在不少问题：比如隐患风险高，急弯陡坡、临水临崖且安全设施缺乏的路段还很多，特别是一些路段缺乏中央隔离设施，正面相撞事故多，一些穿村过镇路段摆摊设点、占道经营、马路市场现象突出，安全风险大；再比如通行秩序乱，客货交织、机非混行，不按规定车道行驶、强超强会等违法突出；又比如警力数量少，近年来交警编制大多没有增加，并且老龄化趋势加剧，很多地方平均一个民警实际负责几十公里甚至上百公里的国省道；还比如管理方式粗放，守巡结合、精准查缉的勤务机制还未固化，不少地方依然延用低效的传统检查模式。这些问题都成为制约国省道交通管理发展的瓶颈，越发难以适应新时代的新趋势，难以满足群众对安全、有序、和谐国省道交通环境的新期待。建设示范路创，旨在推动国省道交通管理提档升级，及早实现国省道交通管理向现代治理的根本转变。</w:t>
      </w:r>
    </w:p>
    <w:p>
      <w:pPr>
        <w:ind w:firstLine="480"/>
        <w:jc w:val="both"/>
      </w:pPr>
      <w:r>
        <w:rPr>
          <w:color w:val="000000"/>
          <w:sz w:val="24"/>
        </w:rPr>
        <w:t>（3）抢抓政策利好补齐国省道短板的有利契机</w:t>
      </w:r>
    </w:p>
    <w:p>
      <w:pPr>
        <w:ind w:firstLine="480"/>
        <w:jc w:val="both"/>
      </w:pPr>
      <w:r>
        <w:rPr>
          <w:color w:val="000000"/>
          <w:sz w:val="24"/>
        </w:rPr>
        <w:t>习近平总书记多次强调“交通基础设施建设具有很强的先导作用”，2020年的政府工作报告也指出重点支持新型基础设施、新型城镇化、交通和水利等重大工程“两新一重”建设，特别是疫情影响下国际市场经济衰退，国内扩大内需稳定基本盘成为必然。各地区各部门按照党中央国务院部署，大力促消费惠民生、调结构增后劲，势必会在完善交通基础设施上加大投资力度。据了解，交通运输部正在着手部署涵盖国省道在内的公路交通安全设施精细化提升工程。我们要抓好有利契机，发挥叠加优势，积极对接相关部门，补短板、堵漏洞、防风险，从根本上解决一些国省道长期存在的交通安全设施不全、安全防护能力不足、科技应用水平不高等问题。</w:t>
      </w:r>
    </w:p>
    <w:p>
      <w:pPr>
        <w:ind w:firstLine="480"/>
        <w:jc w:val="both"/>
      </w:pPr>
      <w:r>
        <w:rPr>
          <w:color w:val="000000"/>
          <w:sz w:val="24"/>
        </w:rPr>
        <w:t>（4）实现国省道交通事故“减量控大”的重要抓手。</w:t>
      </w:r>
    </w:p>
    <w:p>
      <w:pPr>
        <w:ind w:firstLine="480"/>
        <w:jc w:val="both"/>
      </w:pPr>
      <w:r>
        <w:rPr>
          <w:color w:val="000000"/>
          <w:sz w:val="24"/>
        </w:rPr>
        <w:t>从近年来交通安全形势看，城市最平稳、高速最危险、农村最薄弱，而国省道最复杂。截至2019年底，全国普通国道25.7万公里、省道33.5万公里，合计占公路总里程的八分之一，但是，普通国省道事故死亡人数却占到公路事故死亡人数的一半，占全国事故死亡总人数的三分之一。根据近四年统计数据分析，平均每发生3起伤亡交通事故就可能造成1人死亡，这个数值仅低于高速公路，超过所有道路。从重大事故情况看，风险也很大，2016年以来发生的28起重大交通事故中，国省道上发生10起，占35.7%。随着货车流量的上升，大事故的风险隐患更加突出。事实证明，当前阶段的交通管理工作，管与不管两个样，夏季国省道交通秩序专项整治20天，重点违法查处量同比上升2倍，事故下降20%，效果立竿见影。所以只要肯抓，就一定能够“减量控大”。</w:t>
      </w:r>
    </w:p>
    <w:p>
      <w:pPr>
        <w:ind w:firstLine="482"/>
        <w:jc w:val="both"/>
      </w:pPr>
      <w:r>
        <w:rPr>
          <w:b/>
          <w:color w:val="000000"/>
          <w:sz w:val="24"/>
        </w:rPr>
        <w:t>（六）需求分析</w:t>
      </w:r>
    </w:p>
    <w:p>
      <w:pPr>
        <w:ind w:firstLine="482"/>
        <w:jc w:val="both"/>
      </w:pPr>
      <w:r>
        <w:rPr>
          <w:b/>
          <w:color w:val="000000"/>
          <w:sz w:val="24"/>
        </w:rPr>
        <w:t>1.</w:t>
      </w:r>
      <w:r>
        <w:rPr>
          <w:b/>
          <w:color w:val="000000"/>
          <w:sz w:val="24"/>
        </w:rPr>
        <w:t>业务需求</w:t>
      </w:r>
    </w:p>
    <w:p>
      <w:pPr>
        <w:ind w:firstLine="480"/>
        <w:jc w:val="both"/>
      </w:pPr>
      <w:r>
        <w:rPr>
          <w:color w:val="000000"/>
          <w:sz w:val="24"/>
        </w:rPr>
        <w:t>（1）道路通行状态实时监测</w:t>
      </w:r>
    </w:p>
    <w:p>
      <w:pPr>
        <w:ind w:firstLine="480"/>
        <w:jc w:val="both"/>
      </w:pPr>
      <w:r>
        <w:rPr>
          <w:color w:val="000000"/>
          <w:sz w:val="24"/>
        </w:rPr>
        <w:t>根据《广东省国省道交通安全文明示范路创建活动实施方案》要求，主要平交路口、穿村过镇重点路段、交通事故多发路段要实现视频监控全覆盖。经现场勘察，205国道河源段符合实施方案要求的点位有22处。</w:t>
      </w:r>
    </w:p>
    <w:p>
      <w:pPr>
        <w:ind w:firstLine="480"/>
        <w:jc w:val="both"/>
      </w:pPr>
      <w:r>
        <w:rPr>
          <w:color w:val="000000"/>
          <w:sz w:val="24"/>
        </w:rPr>
        <w:t>通过对上述路段科学布设各类交通技术监测设备，结合国省道夜间光线不足问题，选用星光级超低超度监控，实现道路交通状况全天候监测，重点危险路段全覆盖监测。科学规划、合理布局、规范设置各类交通技术监测设备，实现路面在途机动车、交通视频等各类交通安全信息全天候实时监测，提升重点路段监视能力。</w:t>
      </w:r>
    </w:p>
    <w:p>
      <w:pPr>
        <w:ind w:firstLine="480"/>
        <w:jc w:val="both"/>
      </w:pPr>
      <w:r>
        <w:rPr>
          <w:color w:val="000000"/>
          <w:sz w:val="24"/>
        </w:rPr>
        <w:t>（2）交通违法行为及时查纠</w:t>
      </w:r>
    </w:p>
    <w:p>
      <w:pPr>
        <w:ind w:firstLine="480"/>
        <w:jc w:val="both"/>
      </w:pPr>
      <w:r>
        <w:rPr>
          <w:color w:val="000000"/>
          <w:sz w:val="24"/>
        </w:rPr>
        <w:t>针对机动车超速行驶、不按规定车道行驶、违法停车、遮挡号牌，以及夜间大货车、客运车和危险化学品运输车闯禁行等重点交通违法行为，实现交通违法行为的实时发现、取证、预警、即时审核和传递，依托缉查布控系统、指挥中心、交通执法服务站、巡逻警车实现及时预警处理、拦截处置，交通违法行为现场处罚率达到60%以上（按照部交管局对缉查布控系统建设的要求及时调整）。实现与公安交通管理综合应用平台等系统间的信息关联共享，定期梳理重点车辆交通违法记录并导入公安交通集成指挥平台，由执法服务站民警进行拦截查纠，解决当前道路交通违法行为分析、干预不到位、处置不科学等问题，全面提升国省道公路信息化执法与综合应用。</w:t>
      </w:r>
    </w:p>
    <w:p>
      <w:pPr>
        <w:ind w:firstLine="480"/>
        <w:jc w:val="both"/>
      </w:pPr>
      <w:r>
        <w:rPr>
          <w:color w:val="000000"/>
          <w:sz w:val="24"/>
        </w:rPr>
        <w:t>（3）管控力度明显加强。</w:t>
      </w:r>
    </w:p>
    <w:p>
      <w:pPr>
        <w:ind w:firstLine="480"/>
        <w:jc w:val="both"/>
      </w:pPr>
      <w:r>
        <w:rPr>
          <w:color w:val="000000"/>
          <w:sz w:val="24"/>
        </w:rPr>
        <w:t>健全勤务机制，提升管控效能。推进数字警务室建设，推行“情指勤督”勤务模式。</w:t>
      </w:r>
    </w:p>
    <w:p>
      <w:pPr>
        <w:ind w:firstLine="480"/>
        <w:jc w:val="both"/>
      </w:pPr>
      <w:r>
        <w:rPr>
          <w:color w:val="000000"/>
          <w:sz w:val="24"/>
        </w:rPr>
        <w:t>本期系统平台的建设主要是针对交警支队交通应用方面（具有交通执法、交通监控、交通诱导与信息服务、系统管理与集成等功能）的内容，原有公安局已建设和在建设的系统均没有相关的功能可供使用，本系统建设完成后可与目前市局的平台做到数据上的共享共用。</w:t>
      </w:r>
    </w:p>
    <w:p>
      <w:pPr>
        <w:ind w:firstLine="482"/>
        <w:jc w:val="both"/>
      </w:pPr>
      <w:r>
        <w:rPr>
          <w:b/>
          <w:color w:val="000000"/>
          <w:sz w:val="24"/>
        </w:rPr>
        <w:t>2.</w:t>
      </w:r>
      <w:r>
        <w:rPr>
          <w:b/>
          <w:color w:val="000000"/>
          <w:sz w:val="24"/>
        </w:rPr>
        <w:t>系统功能需求</w:t>
      </w:r>
    </w:p>
    <w:p>
      <w:pPr>
        <w:ind w:firstLine="480"/>
        <w:jc w:val="both"/>
      </w:pPr>
      <w:r>
        <w:rPr>
          <w:color w:val="000000"/>
          <w:sz w:val="24"/>
        </w:rPr>
        <w:t>本期系统平台的建设主要是针对交警支队交通应用方面（具有交通执法、交通监控、交通诱导与信息服务、系统管理与集成等功能）的内容，原有公安局已建设和在建设的系统均没有相关的功能可供使用，本系统建设完成后可与目前市局的平台做到数据上的共享共用。</w:t>
      </w:r>
    </w:p>
    <w:p>
      <w:pPr>
        <w:ind w:firstLine="480"/>
        <w:jc w:val="both"/>
      </w:pPr>
      <w:r>
        <w:rPr>
          <w:color w:val="000000"/>
          <w:sz w:val="24"/>
        </w:rPr>
        <w:t>（1）交通违法检测功能需求</w:t>
      </w:r>
    </w:p>
    <w:p>
      <w:pPr>
        <w:ind w:firstLine="480"/>
        <w:jc w:val="both"/>
      </w:pPr>
      <w:r>
        <w:rPr>
          <w:color w:val="000000"/>
          <w:sz w:val="24"/>
        </w:rPr>
        <w:t>通过违法取证设备及管理系统，实现交通违法行为的检测、取证、预警、审核、传递以及即时拦截查处。</w:t>
      </w:r>
    </w:p>
    <w:p>
      <w:pPr>
        <w:ind w:firstLine="480"/>
        <w:jc w:val="both"/>
      </w:pPr>
      <w:r>
        <w:rPr>
          <w:color w:val="000000"/>
          <w:sz w:val="24"/>
        </w:rPr>
        <w:t>（2）交通监控功能需求</w:t>
      </w:r>
    </w:p>
    <w:p>
      <w:pPr>
        <w:ind w:firstLine="480"/>
        <w:jc w:val="both"/>
      </w:pPr>
      <w:r>
        <w:rPr>
          <w:color w:val="000000"/>
          <w:sz w:val="24"/>
        </w:rPr>
        <w:t>对国省道交通状况进行全天候的实时监控，使交通指挥中心能够实时了解整个路网的运行状况，及时准确发现交通事件，并迅速作出响应，并为交通诱导、事后取证等提供基础数据。</w:t>
      </w:r>
    </w:p>
    <w:p>
      <w:pPr>
        <w:ind w:firstLine="480"/>
        <w:jc w:val="both"/>
      </w:pPr>
      <w:r>
        <w:rPr>
          <w:color w:val="000000"/>
          <w:sz w:val="24"/>
        </w:rPr>
        <w:t>（3）交通信息发布功能需求</w:t>
      </w:r>
    </w:p>
    <w:p>
      <w:pPr>
        <w:ind w:firstLine="480"/>
        <w:jc w:val="both"/>
      </w:pPr>
      <w:r>
        <w:rPr>
          <w:color w:val="000000"/>
          <w:sz w:val="24"/>
        </w:rPr>
        <w:t>通过建设一定的信息传播媒介，向交通参与者提供道路的实时运行情况，提醒、建议或控制交通参与者选择最佳的行走路线，安全迅速的到达目的地，从而避免和减少行程延误和损失，提高路网的运行效率。</w:t>
      </w:r>
    </w:p>
    <w:p>
      <w:pPr>
        <w:ind w:firstLine="482"/>
        <w:jc w:val="both"/>
      </w:pPr>
      <w:r>
        <w:rPr>
          <w:b/>
          <w:color w:val="000000"/>
          <w:sz w:val="24"/>
        </w:rPr>
        <w:t>3.</w:t>
      </w:r>
      <w:r>
        <w:rPr>
          <w:b/>
          <w:color w:val="000000"/>
          <w:sz w:val="24"/>
        </w:rPr>
        <w:t>系统性能需求</w:t>
      </w:r>
    </w:p>
    <w:p>
      <w:pPr>
        <w:ind w:firstLine="482"/>
        <w:jc w:val="both"/>
      </w:pPr>
      <w:r>
        <w:rPr>
          <w:b/>
          <w:color w:val="000000"/>
          <w:sz w:val="24"/>
        </w:rPr>
        <w:t>（1）系统整体性能需求</w:t>
      </w:r>
    </w:p>
    <w:p>
      <w:pPr>
        <w:ind w:firstLine="480"/>
        <w:jc w:val="both"/>
      </w:pPr>
      <w:r>
        <w:rPr>
          <w:color w:val="000000"/>
          <w:sz w:val="24"/>
        </w:rPr>
        <w:t>1</w:t>
      </w:r>
      <w:r>
        <w:rPr>
          <w:color w:val="000000"/>
          <w:sz w:val="24"/>
        </w:rPr>
        <w:t>）同时在线用户数100个、并发用户数约为20个。</w:t>
      </w:r>
    </w:p>
    <w:p>
      <w:pPr>
        <w:ind w:firstLine="480"/>
        <w:jc w:val="both"/>
      </w:pPr>
      <w:r>
        <w:rPr>
          <w:color w:val="000000"/>
          <w:sz w:val="24"/>
        </w:rPr>
        <w:t>2</w:t>
      </w:r>
      <w:r>
        <w:rPr>
          <w:color w:val="000000"/>
          <w:sz w:val="24"/>
        </w:rPr>
        <w:t>）系统整体上必须满足7*24小时工作时间要求。</w:t>
      </w:r>
    </w:p>
    <w:p>
      <w:pPr>
        <w:ind w:firstLine="480"/>
        <w:jc w:val="both"/>
      </w:pPr>
      <w:r>
        <w:rPr>
          <w:color w:val="000000"/>
          <w:sz w:val="24"/>
        </w:rPr>
        <w:t>3</w:t>
      </w:r>
      <w:r>
        <w:rPr>
          <w:color w:val="000000"/>
          <w:sz w:val="24"/>
        </w:rPr>
        <w:t>）系统整体上可靠性达到95%，核心设备可靠性必须达到97%。</w:t>
      </w:r>
    </w:p>
    <w:p>
      <w:pPr>
        <w:ind w:firstLine="480"/>
        <w:jc w:val="both"/>
      </w:pPr>
      <w:r>
        <w:rPr>
          <w:color w:val="000000"/>
          <w:sz w:val="24"/>
        </w:rPr>
        <w:t>4</w:t>
      </w:r>
      <w:r>
        <w:rPr>
          <w:color w:val="000000"/>
          <w:sz w:val="24"/>
        </w:rPr>
        <w:t>）系统整体设计上必须保证设备冗余工作能力。平台需具备数据、图像混合传输的能力。</w:t>
      </w:r>
    </w:p>
    <w:p>
      <w:pPr>
        <w:ind w:firstLine="480"/>
        <w:jc w:val="both"/>
      </w:pPr>
      <w:r>
        <w:rPr>
          <w:color w:val="000000"/>
          <w:sz w:val="24"/>
        </w:rPr>
        <w:t>5</w:t>
      </w:r>
      <w:r>
        <w:rPr>
          <w:color w:val="000000"/>
          <w:sz w:val="24"/>
        </w:rPr>
        <w:t>）系统传输时延能力</w:t>
      </w:r>
    </w:p>
    <w:p>
      <w:pPr>
        <w:ind w:firstLine="482"/>
        <w:jc w:val="both"/>
      </w:pPr>
      <w:r>
        <w:rPr>
          <w:b/>
          <w:color w:val="000000"/>
          <w:sz w:val="24"/>
        </w:rPr>
        <w:t>（2）业务类性能需求</w:t>
      </w:r>
    </w:p>
    <w:p>
      <w:pPr>
        <w:ind w:firstLine="480"/>
        <w:jc w:val="both"/>
      </w:pPr>
      <w:r>
        <w:rPr>
          <w:color w:val="000000"/>
          <w:sz w:val="24"/>
        </w:rPr>
        <w:t>根据业务处理类型的不同，把作业划分为交互类业务、查询类业务和统计分析类业务，分别给出响应时间要求的参考值，包括峰值响应时间和平均响应时间。</w:t>
      </w:r>
    </w:p>
    <w:p>
      <w:pPr>
        <w:ind w:firstLine="480"/>
        <w:jc w:val="both"/>
      </w:pPr>
      <w:r>
        <w:rPr>
          <w:color w:val="000000"/>
          <w:sz w:val="24"/>
        </w:rPr>
        <w:t>1)</w:t>
      </w:r>
      <w:r>
        <w:rPr>
          <w:color w:val="000000"/>
          <w:sz w:val="24"/>
        </w:rPr>
        <w:t>交互类业务</w:t>
      </w:r>
    </w:p>
    <w:p>
      <w:pPr>
        <w:ind w:firstLine="480"/>
        <w:jc w:val="both"/>
      </w:pPr>
      <w:r>
        <w:rPr>
          <w:color w:val="000000"/>
          <w:sz w:val="24"/>
        </w:rPr>
        <w:t>交互类业务是指平时工作中在系统中进行的业务处理，如录入，修改或删除一条记录等操作。</w:t>
      </w:r>
    </w:p>
    <w:p>
      <w:pPr>
        <w:ind w:firstLine="480"/>
        <w:jc w:val="both"/>
      </w:pPr>
      <w:r>
        <w:rPr>
          <w:color w:val="000000"/>
          <w:sz w:val="24"/>
        </w:rPr>
        <w:t>平均响应时间：3（秒）；</w:t>
      </w:r>
    </w:p>
    <w:p>
      <w:pPr>
        <w:ind w:firstLine="480"/>
        <w:jc w:val="both"/>
      </w:pPr>
      <w:r>
        <w:rPr>
          <w:color w:val="000000"/>
          <w:sz w:val="24"/>
        </w:rPr>
        <w:t>峰值响应时间：5（秒）。</w:t>
      </w:r>
    </w:p>
    <w:p>
      <w:pPr>
        <w:ind w:firstLine="480"/>
        <w:jc w:val="both"/>
      </w:pPr>
      <w:r>
        <w:rPr>
          <w:color w:val="000000"/>
          <w:sz w:val="24"/>
        </w:rPr>
        <w:t>2)</w:t>
      </w:r>
      <w:r>
        <w:rPr>
          <w:color w:val="000000"/>
          <w:sz w:val="24"/>
        </w:rPr>
        <w:t>查询类业务</w:t>
      </w:r>
    </w:p>
    <w:p>
      <w:pPr>
        <w:ind w:firstLine="480"/>
        <w:jc w:val="both"/>
      </w:pPr>
      <w:r>
        <w:rPr>
          <w:color w:val="000000"/>
          <w:sz w:val="24"/>
        </w:rPr>
        <w:t>如信息查询、统计报表生成或决策支持的信息查询等。查询业务由于受到查询的复杂程度、查询的数据量大小等因素的影响，需要根据具体情况而定，在此给出三个参考范围。</w:t>
      </w:r>
    </w:p>
    <w:p>
      <w:pPr>
        <w:ind w:firstLine="480"/>
        <w:jc w:val="both"/>
      </w:pPr>
      <w:r>
        <w:rPr>
          <w:color w:val="000000"/>
          <w:sz w:val="24"/>
        </w:rPr>
        <w:t>简单查询平均响应时间：3（秒）；</w:t>
      </w:r>
    </w:p>
    <w:p>
      <w:pPr>
        <w:ind w:firstLine="480"/>
        <w:jc w:val="both"/>
      </w:pPr>
      <w:r>
        <w:rPr>
          <w:color w:val="000000"/>
          <w:sz w:val="24"/>
        </w:rPr>
        <w:t>复杂查询平均响应时间：5-10（秒）；</w:t>
      </w:r>
    </w:p>
    <w:p>
      <w:pPr>
        <w:ind w:firstLine="480"/>
        <w:jc w:val="both"/>
      </w:pPr>
      <w:r>
        <w:rPr>
          <w:color w:val="000000"/>
          <w:sz w:val="24"/>
        </w:rPr>
        <w:t>部分对实时性数据要求不高，但需要大量数据处理的数据分析功能，可采用异步处理方式，如每天晚上提前处理，再直接查阅。</w:t>
      </w:r>
    </w:p>
    <w:p>
      <w:pPr>
        <w:ind w:firstLine="480"/>
        <w:jc w:val="both"/>
      </w:pPr>
      <w:r>
        <w:rPr>
          <w:color w:val="000000"/>
          <w:sz w:val="24"/>
        </w:rPr>
        <w:t>3)</w:t>
      </w:r>
      <w:r>
        <w:rPr>
          <w:color w:val="000000"/>
          <w:sz w:val="24"/>
        </w:rPr>
        <w:t>统计分析类业务</w:t>
      </w:r>
    </w:p>
    <w:p>
      <w:pPr>
        <w:ind w:firstLine="480"/>
        <w:jc w:val="both"/>
      </w:pPr>
      <w:r>
        <w:rPr>
          <w:color w:val="000000"/>
          <w:sz w:val="24"/>
        </w:rPr>
        <w:t>一般统计时间：不超过5秒；</w:t>
      </w:r>
    </w:p>
    <w:p>
      <w:pPr>
        <w:ind w:firstLine="480"/>
        <w:jc w:val="both"/>
      </w:pPr>
      <w:r>
        <w:rPr>
          <w:color w:val="000000"/>
          <w:sz w:val="24"/>
        </w:rPr>
        <w:t>一般分析时间：不超过5-10秒。</w:t>
      </w:r>
    </w:p>
    <w:p>
      <w:pPr>
        <w:ind w:firstLine="482"/>
        <w:jc w:val="both"/>
      </w:pPr>
      <w:r>
        <w:rPr>
          <w:b/>
          <w:color w:val="000000"/>
          <w:sz w:val="24"/>
        </w:rPr>
        <w:t>（3）可扩充性需求</w:t>
      </w:r>
    </w:p>
    <w:p>
      <w:pPr>
        <w:ind w:firstLine="480"/>
        <w:jc w:val="both"/>
      </w:pPr>
      <w:r>
        <w:rPr>
          <w:color w:val="000000"/>
          <w:sz w:val="24"/>
        </w:rPr>
        <w:t>本平台要求软件具有良好的可扩充性。在软件设计方面，可充分应用软件模块化、对象化的设计理念，进行模块化、对象化设计。这样，各个功能模块间独立性较强，使增加、减少或修改模块对整个系统的影响尽可能小。</w:t>
      </w:r>
    </w:p>
    <w:p>
      <w:pPr>
        <w:ind w:firstLine="482"/>
        <w:jc w:val="both"/>
      </w:pPr>
      <w:r>
        <w:rPr>
          <w:b/>
          <w:color w:val="000000"/>
          <w:sz w:val="24"/>
        </w:rPr>
        <w:t>（4）易用性需求</w:t>
      </w:r>
    </w:p>
    <w:p>
      <w:pPr>
        <w:ind w:firstLine="480"/>
        <w:jc w:val="both"/>
      </w:pPr>
      <w:r>
        <w:rPr>
          <w:color w:val="000000"/>
          <w:sz w:val="24"/>
        </w:rPr>
        <w:t>简单化，即界面一目了然，操作简单，尽量减少需要用户输入参数。</w:t>
      </w:r>
    </w:p>
    <w:p>
      <w:pPr>
        <w:ind w:firstLine="480"/>
        <w:jc w:val="both"/>
      </w:pPr>
      <w:r>
        <w:rPr>
          <w:color w:val="000000"/>
          <w:sz w:val="24"/>
        </w:rPr>
        <w:t>用户界面所用的术语应具有标准化和一致性。凡是与用户见面的图、表应当模拟真实的图形显示和表格格式，遵从用户的工作习惯。</w:t>
      </w:r>
    </w:p>
    <w:p>
      <w:pPr>
        <w:ind w:firstLine="480"/>
        <w:jc w:val="both"/>
      </w:pPr>
      <w:r>
        <w:rPr>
          <w:color w:val="000000"/>
          <w:sz w:val="24"/>
        </w:rPr>
        <w:t>操作过程的可视化，是用户了解操作的过程。</w:t>
      </w:r>
    </w:p>
    <w:p>
      <w:pPr>
        <w:ind w:firstLine="480"/>
        <w:jc w:val="both"/>
      </w:pPr>
      <w:r>
        <w:rPr>
          <w:color w:val="000000"/>
          <w:sz w:val="24"/>
        </w:rPr>
        <w:t>可读性，界面应清晰简洁，易于阅读，便于用户理解，界面层次分明，布局合理，以最简洁的方式提供用户所需的信息。</w:t>
      </w:r>
    </w:p>
    <w:p>
      <w:pPr>
        <w:ind w:firstLine="482"/>
        <w:jc w:val="both"/>
      </w:pPr>
      <w:r>
        <w:rPr>
          <w:b/>
          <w:color w:val="000000"/>
          <w:sz w:val="24"/>
        </w:rPr>
        <w:t>（5）排错性需求</w:t>
      </w:r>
    </w:p>
    <w:p>
      <w:pPr>
        <w:ind w:firstLine="480"/>
        <w:jc w:val="both"/>
      </w:pPr>
      <w:r>
        <w:rPr>
          <w:color w:val="000000"/>
          <w:sz w:val="24"/>
        </w:rPr>
        <w:t>系统不仅要在用户做出错误指示时给出相应的系统反应，还应该配以必要的说明以帮助用户排除错误，并且重新做出正确的指示系统应当尽可能地将系统的排错能力发挥得更好，除对于一般的用户较常见的一些输入错误都能给出错误提示，比如输入参数超出数据库中数据的范围、没有根据系统流程进行操作等等。同时系统具有一些图形界面，当错误发生时系统能够按照预先设计好的语句或者在某个特定条件发生时停下来。</w:t>
      </w:r>
    </w:p>
    <w:p>
      <w:pPr>
        <w:ind w:firstLine="482"/>
        <w:jc w:val="both"/>
      </w:pPr>
      <w:r>
        <w:rPr>
          <w:b/>
          <w:color w:val="000000"/>
          <w:sz w:val="24"/>
        </w:rPr>
        <w:t>（七）项目总体架构</w:t>
      </w:r>
    </w:p>
    <w:p>
      <w:pPr>
        <w:ind w:firstLine="480"/>
        <w:jc w:val="both"/>
      </w:pPr>
      <w:r>
        <w:rPr>
          <w:color w:val="000000"/>
          <w:sz w:val="24"/>
        </w:rPr>
        <w:t>本项目主要是在205国道及相关的省道、乡道、村道等地方部署前端监控设备，包含有卡口、视频监控、信息发布屏等，通过前端信息化设备的部署，改进提升路面管控水平，改善国省道通行秩序，预防和减少交通事故，营造安全、畅通、有序、和谐的公路通行环境。此外，也在该路段所涉及到的中队指挥室进行升级改造，从而打造数字警务室，建立完善“情指勤督”指挥调度体系，健全网上网下结合巡逻模式，深化公路交通安全防控体系建设应用。前端设备的网络要求部署在公安视频专网上，系统架构建设契合省交管局公安交管业务机制和公安集成指挥平台架构体系。</w:t>
      </w:r>
    </w:p>
    <w:p>
      <w:pPr>
        <w:ind w:firstLine="480"/>
        <w:jc w:val="both"/>
      </w:pPr>
      <w:r>
        <w:rPr>
          <w:color w:val="000000"/>
          <w:sz w:val="24"/>
        </w:rPr>
        <w:t>项目总体架构图如上图所示，总体架构五层自下而上分别为基础设施层、汇聚层、服务层、业务应用层和交互层。下面分别对各层系统的内容进行概述：</w:t>
      </w:r>
    </w:p>
    <w:p>
      <w:pPr>
        <w:ind w:firstLine="480"/>
        <w:jc w:val="both"/>
      </w:pPr>
      <w:r>
        <w:rPr>
          <w:color w:val="000000"/>
          <w:sz w:val="24"/>
        </w:rPr>
        <w:t>1</w:t>
      </w:r>
      <w:r>
        <w:rPr>
          <w:color w:val="000000"/>
          <w:sz w:val="24"/>
        </w:rPr>
        <w:t>）基础设施层</w:t>
      </w:r>
    </w:p>
    <w:p>
      <w:pPr>
        <w:ind w:firstLine="480"/>
        <w:jc w:val="both"/>
      </w:pPr>
      <w:r>
        <w:rPr>
          <w:color w:val="000000"/>
          <w:sz w:val="24"/>
        </w:rPr>
        <w:t>基础设施层主要包括路面端感知设备、指挥中心机房、路面执法站、指挥室等基础设施。感知设备包括道路车辆智能监测子项、交通信息发布子项等，为道路安全管控及信息采集提供基础支撑手段。</w:t>
      </w:r>
    </w:p>
    <w:p>
      <w:pPr>
        <w:ind w:firstLine="480"/>
        <w:jc w:val="both"/>
      </w:pPr>
      <w:r>
        <w:rPr>
          <w:color w:val="000000"/>
          <w:sz w:val="24"/>
        </w:rPr>
        <w:t>2</w:t>
      </w:r>
      <w:r>
        <w:rPr>
          <w:color w:val="000000"/>
          <w:sz w:val="24"/>
        </w:rPr>
        <w:t>）汇聚层</w:t>
      </w:r>
    </w:p>
    <w:p>
      <w:pPr>
        <w:ind w:firstLine="480"/>
        <w:jc w:val="both"/>
      </w:pPr>
      <w:r>
        <w:rPr>
          <w:color w:val="000000"/>
          <w:sz w:val="24"/>
        </w:rPr>
        <w:t>汇聚层根据交管业务数据统一协议标准规范，汇集过车、图片、视频等资源信息，提供设备接入指令下发和数据交换/共享服务接口。包含数据分布式汇聚管理系统及视频管理系统。</w:t>
      </w:r>
    </w:p>
    <w:p>
      <w:pPr>
        <w:ind w:firstLine="480"/>
        <w:jc w:val="both"/>
      </w:pPr>
      <w:r>
        <w:rPr>
          <w:color w:val="000000"/>
          <w:sz w:val="24"/>
        </w:rPr>
        <w:t>3</w:t>
      </w:r>
      <w:r>
        <w:rPr>
          <w:color w:val="000000"/>
          <w:sz w:val="24"/>
        </w:rPr>
        <w:t>）服务层</w:t>
      </w:r>
    </w:p>
    <w:p>
      <w:pPr>
        <w:ind w:firstLine="480"/>
        <w:jc w:val="both"/>
      </w:pPr>
      <w:r>
        <w:rPr>
          <w:color w:val="000000"/>
          <w:sz w:val="24"/>
        </w:rPr>
        <w:t>服务层基于数据资源池等相关服务中间件，利用文本流式/离线计算、数据引擎、时空算法、专题模型、接口服务等技术，通过前后端分离构建和业务服务组件手段，为平台系统提供运行环境。</w:t>
      </w:r>
    </w:p>
    <w:p>
      <w:pPr>
        <w:ind w:firstLine="480"/>
        <w:jc w:val="both"/>
      </w:pPr>
      <w:r>
        <w:rPr>
          <w:color w:val="000000"/>
          <w:sz w:val="24"/>
        </w:rPr>
        <w:t>4</w:t>
      </w:r>
      <w:r>
        <w:rPr>
          <w:color w:val="000000"/>
          <w:sz w:val="24"/>
        </w:rPr>
        <w:t>）应用层</w:t>
      </w:r>
    </w:p>
    <w:p>
      <w:pPr>
        <w:ind w:firstLine="480"/>
        <w:jc w:val="both"/>
      </w:pPr>
      <w:r>
        <w:rPr>
          <w:color w:val="000000"/>
          <w:sz w:val="24"/>
        </w:rPr>
        <w:t>业务应用层主要由原有平台中的功能模块组成，主要包括：视频监控巡逻、交通信息发布等部分组成。</w:t>
      </w:r>
    </w:p>
    <w:p>
      <w:pPr>
        <w:ind w:firstLine="480"/>
        <w:jc w:val="both"/>
      </w:pPr>
      <w:r>
        <w:rPr>
          <w:color w:val="000000"/>
          <w:sz w:val="24"/>
        </w:rPr>
        <w:t>5</w:t>
      </w:r>
      <w:r>
        <w:rPr>
          <w:color w:val="000000"/>
          <w:sz w:val="24"/>
        </w:rPr>
        <w:t>）交互层</w:t>
      </w:r>
    </w:p>
    <w:p>
      <w:pPr>
        <w:ind w:firstLine="480"/>
        <w:jc w:val="both"/>
      </w:pPr>
      <w:r>
        <w:rPr>
          <w:color w:val="000000"/>
          <w:sz w:val="24"/>
        </w:rPr>
        <w:t>交互层是通过应用层业务功能模块，结合路面的交通可变LED情报标志开展交通事件预警预防。同时，结合指挥室大屏显示系统、支队指挥中心电视墙等，为用户提供可视化交互能力。</w:t>
      </w:r>
    </w:p>
    <w:p>
      <w:pPr>
        <w:ind w:firstLine="482"/>
        <w:jc w:val="both"/>
      </w:pPr>
      <w:r>
        <w:rPr>
          <w:b/>
          <w:color w:val="000000"/>
          <w:sz w:val="24"/>
        </w:rPr>
        <w:t>（八）项目总体架构</w:t>
      </w:r>
    </w:p>
    <w:p>
      <w:pPr>
        <w:ind w:firstLine="480"/>
        <w:jc w:val="both"/>
      </w:pPr>
      <w:r>
        <w:rPr>
          <w:color w:val="000000"/>
          <w:sz w:val="24"/>
        </w:rPr>
        <w:t>河源市公安局交警支队205国道科技示范公路项目是由中心交通应用管理平台和基础应用系统等多系统有机结合构成的具有对交通管理数据采集、处理、决策能力和组织协调、指挥调度能力的综合应用系统。其中，中心软件平台是项目的核心内容，也是系统建设的关键。</w:t>
      </w:r>
    </w:p>
    <w:p>
      <w:pPr>
        <w:ind w:firstLine="480"/>
        <w:jc w:val="both"/>
      </w:pPr>
      <w:r>
        <w:rPr>
          <w:color w:val="000000"/>
          <w:sz w:val="24"/>
        </w:rPr>
        <w:t>此次设计建设系统为：交通应用平台，公路基础应用系统，指挥室等。</w:t>
      </w:r>
    </w:p>
    <w:p>
      <w:pPr>
        <w:ind w:firstLine="480"/>
        <w:jc w:val="both"/>
      </w:pPr>
      <w:r>
        <w:rPr>
          <w:color w:val="000000"/>
          <w:sz w:val="24"/>
        </w:rPr>
        <w:t>已建系统：公安交通集成指挥平台，指挥中心及机房，支队网络通信系统。</w:t>
      </w:r>
    </w:p>
    <w:p>
      <w:pPr>
        <w:ind w:firstLine="480"/>
        <w:jc w:val="both"/>
      </w:pPr>
      <w:r>
        <w:rPr>
          <w:color w:val="000000"/>
          <w:sz w:val="24"/>
        </w:rPr>
        <w:t>外部关联：广东省交管局，河源市公安局等。本系统可根据需要与其进行信息交互。</w:t>
      </w:r>
    </w:p>
    <w:p>
      <w:pPr>
        <w:ind w:firstLine="480"/>
        <w:jc w:val="both"/>
      </w:pPr>
      <w:r>
        <w:rPr>
          <w:color w:val="000000"/>
          <w:sz w:val="24"/>
        </w:rPr>
        <w:t>系统部署在工信局三楼机房服务器之中。网络架构根据功能作用的不同分为公安网接入区和视频专网接入区，专网接入区实现对前端路面设备的对接。本项目交通应用平台、数据分布式汇聚管理系统、视频管理系统部署在视频专网区。通过公安网已部署的后置接入服务将过车数据推送公安交通集成指挥平台。</w:t>
      </w:r>
    </w:p>
    <w:p>
      <w:r>
        <w:rPr/>
        <w:t xml:space="preserve"> </w:t>
      </w:r>
    </w:p>
    <w:p/>
    <w:p>
      <w:pPr>
        <w:ind w:firstLine="480"/>
      </w:pPr>
    </w:p>
    <w:p/>
    <w:p>
      <w:r>
        <w:rPr/>
        <w:t>采购包1（河源市公安局交警支队205国道科技示范 公路项目）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签订合同后180个日历天内完成所有设备的安装调试并投入试运行</w:t>
            </w:r>
          </w:p>
        </w:tc>
      </w:tr>
      <w:tr>
        <w:tc>
          <w:tcPr>
            <w:tcW w:type="dxa" w:w="4153"/>
          </w:tcPr>
          <w:p>
            <w:r>
              <w:rPr/>
              <w:t>标的提供的地点</w:t>
            </w:r>
          </w:p>
        </w:tc>
        <w:tc>
          <w:tcPr>
            <w:tcW w:type="dxa" w:w="4153"/>
          </w:tcPr>
          <w:p/>
          <w:p>
            <w:r>
              <w:rPr/>
              <w:t>用户指定地点</w:t>
            </w:r>
          </w:p>
        </w:tc>
      </w:tr>
      <w:tr>
        <w:tc>
          <w:tcPr>
            <w:tcW w:type="dxa" w:w="4153"/>
          </w:tcPr>
          <w:p>
            <w:r>
              <w:rPr/>
              <w:t>付款方式</w:t>
            </w:r>
          </w:p>
        </w:tc>
        <w:tc>
          <w:tcPr>
            <w:tcW w:type="dxa" w:w="4153"/>
          </w:tcPr>
          <w:p/>
          <w:p/>
          <w:p>
            <w:r>
              <w:rPr/>
              <w:t>1期：支付比例30%,签订合同后15个工作日内支付合同总金额的30%；</w:t>
            </w:r>
          </w:p>
          <w:p/>
          <w:p>
            <w:r>
              <w:rPr/>
              <w:t>2期：支付比例65%,项目验收合格后且提交所有材料后15个工作日内支付合同总额65%</w:t>
            </w:r>
          </w:p>
          <w:p/>
          <w:p>
            <w:r>
              <w:rPr/>
              <w:t>3期：支付比例5%,剩余合同总金额5%作为质保金，设备、软件正常使用1年后无息支付。 中标人凭以下有效文件与采购人结算： ①合同； ②中标人开具的正式发票； ③验收报告（加盖采购人公章）； ④中标通知书。</w:t>
            </w:r>
          </w:p>
        </w:tc>
      </w:tr>
      <w:tr>
        <w:tc>
          <w:tcPr>
            <w:tcW w:type="dxa" w:w="4153"/>
          </w:tcPr>
          <w:p>
            <w:r>
              <w:rPr/>
              <w:t>验收要求</w:t>
            </w:r>
          </w:p>
        </w:tc>
        <w:tc>
          <w:tcPr>
            <w:tcW w:type="dxa" w:w="4153"/>
          </w:tcPr>
          <w:p/>
          <w:p/>
          <w:p/>
          <w:p>
            <w:r>
              <w:rPr/>
              <w:t>1期：（1）按照中华人民共和国国家和履约地相关安全质量标准、行业技术规范标准、环保节能标准进行验收，采购人组成验收小组按国家有关规定、规范进行验收，必要时邀请相关的专业人员或机构参与验收。因质量问题发生争议时，由本地质量技术监督部门鉴定。 （2）中标产品安装调试完成正常工作7个工作日，验收应在用户和中标人双方共同参加下进行。 （3）中标人应将关键设备的用户手册、保修手册、有关单证资料及配备件、随机工具等交付给采购人，使用操作及安全须知等重要资料应附有中文说明。 （4）安装完毕后，由用户方组织抽样检查和验收，若发现有1/10以上货物出现质量问题，将视整批产品不合格，用户有权要求退货。 （5）验收时如发现所交付的货物有短装、次品、损坏或其它不符合招标文件规定之情形者，采购人应做出详尽的现场记录，或由用户和中标人双方签署备忘录。此现场记录或备忘录可用作补充、缺失和更换损坏部件的有效证据。由此产生的有关费用由中标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（1）投标人报价应包括设计、材料、人工、机械、采购、运输（吊装）、安装、调试、培训、税费、相关部门验收及保修期内的维护保养等所有费用，以及投标人认为必要的其他货物、材料、工程、服务。 （2）投标人应自行增加货物正常、合法、安全运行及使用所必须但招标文件没有包含的所有设备、版权、专利等一切费用。</w:t>
            </w:r>
          </w:p>
        </w:tc>
      </w:tr>
      <w:tr>
        <w:tc>
          <w:tcPr>
            <w:tcW w:type="dxa" w:w="2076"/>
          </w:tcPr>
          <w:p>
            <w:pPr>
              <w:jc w:val="center"/>
            </w:pPr>
          </w:p>
        </w:tc>
        <w:tc>
          <w:tcPr>
            <w:tcW w:type="dxa" w:w="2076"/>
          </w:tcPr>
          <w:p>
            <w:pPr>
              <w:jc w:val="center"/>
            </w:pPr>
            <w:r>
              <w:rPr/>
              <w:t>2</w:t>
            </w:r>
          </w:p>
        </w:tc>
        <w:tc>
          <w:tcPr>
            <w:tcW w:type="dxa" w:w="2076"/>
          </w:tcPr>
          <w:p>
            <w:pPr>
              <w:jc w:val="left"/>
            </w:pPr>
            <w:r>
              <w:rPr/>
              <w:t>供货要求</w:t>
            </w:r>
          </w:p>
        </w:tc>
        <w:tc>
          <w:tcPr>
            <w:tcW w:type="dxa" w:w="2076"/>
          </w:tcPr>
          <w:p>
            <w:pPr>
              <w:jc w:val="left"/>
            </w:pPr>
            <w:r>
              <w:rPr/>
              <w:t>投标人应保证所投产品或产品任何部分非他人所有或与他人共有，未设有抵押权、租赁权,未侵犯他人的专利权、版权、商标权等知识产权。一旦出现侵权，投标人应承担全部责任。</w:t>
            </w:r>
          </w:p>
        </w:tc>
      </w:tr>
      <w:tr>
        <w:tc>
          <w:tcPr>
            <w:tcW w:type="dxa" w:w="2076"/>
          </w:tcPr>
          <w:p>
            <w:pPr>
              <w:jc w:val="center"/>
            </w:pPr>
          </w:p>
        </w:tc>
        <w:tc>
          <w:tcPr>
            <w:tcW w:type="dxa" w:w="2076"/>
          </w:tcPr>
          <w:p>
            <w:pPr>
              <w:jc w:val="center"/>
            </w:pPr>
            <w:r>
              <w:rPr/>
              <w:t>3</w:t>
            </w:r>
          </w:p>
        </w:tc>
        <w:tc>
          <w:tcPr>
            <w:tcW w:type="dxa" w:w="2076"/>
          </w:tcPr>
          <w:p>
            <w:pPr>
              <w:jc w:val="left"/>
            </w:pPr>
            <w:r>
              <w:rPr/>
              <w:t>质量标准</w:t>
            </w:r>
          </w:p>
        </w:tc>
        <w:tc>
          <w:tcPr>
            <w:tcW w:type="dxa" w:w="2076"/>
          </w:tcPr>
          <w:p>
            <w:pPr>
              <w:jc w:val="left"/>
            </w:pPr>
            <w:r>
              <w:rPr/>
              <w:t>（1）投标人所投货物必须是厂商原装的、全新的、型号、性能及指标符合或优于国家及招标文件提出的相关要求、质量、安全标准等的货物。 （2）所投货物必须符合国家质量检测标准和专业设备检测标准。 （3）设备包装均应有良好的防湿、防锈、防潮、防雨、防腐及防碰撞的措施。凡由于包装不良造成的损失和由此产生的费用均由中标人承担。凡涉及美观和有特别安装要求的、特殊用途的、专业性强的，由厂家或供应商点对点送货。在生产现场（即建设单位使用现场）待条件成熟时，由专业人员就位安装。最大限度地保证设备的完整性、资料设备附件的齐整、外型美观、开箱报验等工程手续的齐备。 （4）应提供包括但不限于满足设备安装、使用和维护的技术文件，如设备和附件箱清单、质量合格检验证明文件、保修服务卡。</w:t>
            </w:r>
          </w:p>
        </w:tc>
      </w:tr>
      <w:tr>
        <w:tc>
          <w:tcPr>
            <w:tcW w:type="dxa" w:w="2076"/>
          </w:tcPr>
          <w:p>
            <w:pPr>
              <w:jc w:val="center"/>
            </w:pPr>
          </w:p>
        </w:tc>
        <w:tc>
          <w:tcPr>
            <w:tcW w:type="dxa" w:w="2076"/>
          </w:tcPr>
          <w:p>
            <w:pPr>
              <w:jc w:val="center"/>
            </w:pPr>
            <w:r>
              <w:rPr/>
              <w:t>4</w:t>
            </w:r>
          </w:p>
        </w:tc>
        <w:tc>
          <w:tcPr>
            <w:tcW w:type="dxa" w:w="2076"/>
          </w:tcPr>
          <w:p>
            <w:pPr>
              <w:jc w:val="left"/>
            </w:pPr>
            <w:r>
              <w:rPr/>
              <w:t>运输及保管、保险</w:t>
            </w:r>
          </w:p>
        </w:tc>
        <w:tc>
          <w:tcPr>
            <w:tcW w:type="dxa" w:w="2076"/>
          </w:tcPr>
          <w:p>
            <w:pPr>
              <w:jc w:val="left"/>
            </w:pPr>
            <w:r>
              <w:rPr/>
              <w:t>（1）投标人负责根据各品目不同的安装地点，将设备材料送到现场过程中的全部运输；包括装卸车、货物现场的搬运、设备的安装、调试等； （2）各种设备，必须提供装箱清单，按装箱清单验收货物； （3）货物在现场的保管由中标人负责，直至项目安装、验收完毕； （4）货物在安装调试验收合格前的保险由中标人负责，中标人负责其派出的现场服务人员人身意外保险。</w:t>
            </w:r>
          </w:p>
        </w:tc>
      </w:tr>
      <w:tr>
        <w:tc>
          <w:tcPr>
            <w:tcW w:type="dxa" w:w="2076"/>
          </w:tcPr>
          <w:p>
            <w:pPr>
              <w:jc w:val="center"/>
            </w:pPr>
          </w:p>
        </w:tc>
        <w:tc>
          <w:tcPr>
            <w:tcW w:type="dxa" w:w="2076"/>
          </w:tcPr>
          <w:p>
            <w:pPr>
              <w:jc w:val="center"/>
            </w:pPr>
            <w:r>
              <w:rPr/>
              <w:t>5</w:t>
            </w:r>
          </w:p>
        </w:tc>
        <w:tc>
          <w:tcPr>
            <w:tcW w:type="dxa" w:w="2076"/>
          </w:tcPr>
          <w:p>
            <w:pPr>
              <w:jc w:val="left"/>
            </w:pPr>
            <w:r>
              <w:rPr/>
              <w:t>安装调试</w:t>
            </w:r>
          </w:p>
        </w:tc>
        <w:tc>
          <w:tcPr>
            <w:tcW w:type="dxa" w:w="2076"/>
          </w:tcPr>
          <w:p>
            <w:pPr>
              <w:jc w:val="left"/>
            </w:pPr>
            <w:r>
              <w:rPr/>
              <w:t>（1）合同签订后，投标人将预安装条件发给采购人，对所需的环境条件，结合采购人的实际情况进行指导并提出建议。接到采购人安装要求后，立即安排技术服务工程师和用户一起开箱验货，核实与合同的内容及数量后，现场进行免费安装、调试检验。 （2）中标人负责到各品目不同的安装地点进行安装调试。中标人应提交详细安装进度表。中标人应设安装负责人，负责安装协调管理工作。安装所需工具设施物料由中标人自备、自费运到现场，完工后自费搬走。 （3）货物的安装、改造、维修活动结束后，中标人应当按照项目要求或安全技术规范的要求对货物进行校验和调试，并对校验和调试结果负责。 （4）中标人应保证在接到采购人进场安装通知后，才把货物运到安装现场进行安装，并且会同采购人进行初步的外观检查，货物由中标人负责保管，并且允许采购人随时进场抽检。 （5）安装期间，中标人为本项目派出的服务人员须遵守采购人有关制度，因本项目安装等相关工作引起的消防事故或人员伤亡事故，由中标人承担一切经济、法律责任。</w:t>
            </w:r>
          </w:p>
        </w:tc>
      </w:tr>
      <w:tr>
        <w:tc>
          <w:tcPr>
            <w:tcW w:type="dxa" w:w="2076"/>
          </w:tcPr>
          <w:p>
            <w:pPr>
              <w:jc w:val="center"/>
            </w:pPr>
          </w:p>
        </w:tc>
        <w:tc>
          <w:tcPr>
            <w:tcW w:type="dxa" w:w="2076"/>
          </w:tcPr>
          <w:p>
            <w:pPr>
              <w:jc w:val="center"/>
            </w:pPr>
            <w:r>
              <w:rPr/>
              <w:t>6</w:t>
            </w:r>
          </w:p>
        </w:tc>
        <w:tc>
          <w:tcPr>
            <w:tcW w:type="dxa" w:w="2076"/>
          </w:tcPr>
          <w:p>
            <w:pPr>
              <w:jc w:val="left"/>
            </w:pPr>
            <w:r>
              <w:rPr/>
              <w:t>培训</w:t>
            </w:r>
          </w:p>
        </w:tc>
        <w:tc>
          <w:tcPr>
            <w:tcW w:type="dxa" w:w="2076"/>
          </w:tcPr>
          <w:p>
            <w:pPr>
              <w:jc w:val="left"/>
            </w:pPr>
            <w:r>
              <w:rPr/>
              <w:t>须派遣有经验的技术人员或工程师，前往采购人单位进行优质的培训服务。对货物的使用、操作、注意事项和维修进行免费培训，并提供安装使用维护说明书，确保采购人能够对货物有足够的了解和熟悉，能够独立进行设备的日常维护、保养，培训的一切资料由中标人免费提供。</w:t>
            </w:r>
          </w:p>
        </w:tc>
      </w:tr>
      <w:tr>
        <w:tc>
          <w:tcPr>
            <w:tcW w:type="dxa" w:w="2076"/>
          </w:tcPr>
          <w:p>
            <w:pPr>
              <w:jc w:val="center"/>
            </w:pPr>
          </w:p>
        </w:tc>
        <w:tc>
          <w:tcPr>
            <w:tcW w:type="dxa" w:w="2076"/>
          </w:tcPr>
          <w:p>
            <w:pPr>
              <w:jc w:val="center"/>
            </w:pPr>
            <w:r>
              <w:rPr/>
              <w:t>7</w:t>
            </w:r>
          </w:p>
        </w:tc>
        <w:tc>
          <w:tcPr>
            <w:tcW w:type="dxa" w:w="2076"/>
          </w:tcPr>
          <w:p>
            <w:pPr>
              <w:jc w:val="left"/>
            </w:pPr>
            <w:r>
              <w:rPr/>
              <w:t>质量保证及售后服务</w:t>
            </w:r>
          </w:p>
        </w:tc>
        <w:tc>
          <w:tcPr>
            <w:tcW w:type="dxa" w:w="2076"/>
          </w:tcPr>
          <w:p>
            <w:pPr>
              <w:jc w:val="left"/>
            </w:pPr>
            <w:r>
              <w:rPr/>
              <w:t>（1）保修期：自项目验收通过之日开始计算，提供本项目所有软、硬件设备三年保修。保修期内，所有设备维修服务均为上门服务，由此产生的费用均不再收取。 （2）货物制造质量出现问题，供应商负责提供三包（包修、包换、包退）服务。 （3）保修期内用户所购货物各部件发生非人为故障，供应商应免费上门更换同种品牌不低于原规格型号的新部件，并承担相关费用，包括部件调换的内陆运输费用，急用部件应免费空运。 （4）保修期间内同一硬件一个月内连续3次出现同一故障，供货商须无偿更换同一档次设备。 （5）投标人接到采购人维修通知后1小时内给予答复，并派出维修人员在3小时内到达用户现场进行维修服务，并在24小时内解决问题。若在24小时仍未能有效解决，投标人须免费提供同档次的货物予采购人临时使用。 （6）所有保修服务方式均为中标人上门保修，即中标人派人员到货物使用现场维修，由此产生的一切费用均由中标人承担。 （7）质保期满后的服务要求：免费质保期满后，提供终身维护服务，只按厂价收取所换的材料费，不收取任何维护费用。</w:t>
            </w:r>
          </w:p>
        </w:tc>
      </w:tr>
      <w:tr>
        <w:tc>
          <w:tcPr>
            <w:tcW w:type="dxa" w:w="2076"/>
          </w:tcPr>
          <w:p>
            <w:pPr>
              <w:jc w:val="center"/>
            </w:pPr>
          </w:p>
        </w:tc>
        <w:tc>
          <w:tcPr>
            <w:tcW w:type="dxa" w:w="2076"/>
          </w:tcPr>
          <w:p>
            <w:pPr>
              <w:jc w:val="center"/>
            </w:pPr>
            <w:r>
              <w:rPr/>
              <w:t>8</w:t>
            </w:r>
          </w:p>
        </w:tc>
        <w:tc>
          <w:tcPr>
            <w:tcW w:type="dxa" w:w="2076"/>
          </w:tcPr>
          <w:p>
            <w:pPr>
              <w:jc w:val="left"/>
            </w:pPr>
            <w:r>
              <w:rPr/>
              <w:t>技术资料</w:t>
            </w:r>
          </w:p>
        </w:tc>
        <w:tc>
          <w:tcPr>
            <w:tcW w:type="dxa" w:w="2076"/>
          </w:tcPr>
          <w:p>
            <w:pPr>
              <w:jc w:val="left"/>
            </w:pPr>
            <w:r>
              <w:rPr/>
              <w:t>（1）中标人验收后向用户提供项目验收报告和有关技术资料，包括但不限于产品说明书（中文）、合格证等。 （2）货物装箱清单，包括但不限于配件、备品备件、专用工具和软件等。</w:t>
            </w:r>
          </w:p>
        </w:tc>
      </w:tr>
      <w:tr>
        <w:tc>
          <w:tcPr>
            <w:tcW w:type="dxa" w:w="2076"/>
          </w:tcPr>
          <w:p>
            <w:pPr>
              <w:jc w:val="center"/>
            </w:pPr>
          </w:p>
        </w:tc>
        <w:tc>
          <w:tcPr>
            <w:tcW w:type="dxa" w:w="2076"/>
          </w:tcPr>
          <w:p>
            <w:pPr>
              <w:jc w:val="center"/>
            </w:pPr>
            <w:r>
              <w:rPr/>
              <w:t>9</w:t>
            </w:r>
          </w:p>
        </w:tc>
        <w:tc>
          <w:tcPr>
            <w:tcW w:type="dxa" w:w="2076"/>
          </w:tcPr>
          <w:p>
            <w:pPr>
              <w:jc w:val="left"/>
            </w:pPr>
            <w:r>
              <w:rPr/>
              <w:t>保密</w:t>
            </w:r>
          </w:p>
        </w:tc>
        <w:tc>
          <w:tcPr>
            <w:tcW w:type="dxa" w:w="2076"/>
          </w:tcPr>
          <w:p>
            <w:pPr>
              <w:jc w:val="left"/>
            </w:pPr>
            <w:r>
              <w:rPr/>
              <w:t>凡涉及招标及合同中的采购项目的有关信息和内容，不得透露给第三方。</w:t>
            </w:r>
          </w:p>
        </w:tc>
      </w:tr>
      <w:tr>
        <w:tc>
          <w:tcPr>
            <w:tcW w:type="dxa" w:w="2076"/>
          </w:tcPr>
          <w:p>
            <w:pPr>
              <w:jc w:val="center"/>
            </w:pPr>
          </w:p>
        </w:tc>
        <w:tc>
          <w:tcPr>
            <w:tcW w:type="dxa" w:w="2076"/>
          </w:tcPr>
          <w:p>
            <w:pPr>
              <w:jc w:val="center"/>
            </w:pPr>
            <w:r>
              <w:rPr/>
              <w:t>10</w:t>
            </w:r>
          </w:p>
        </w:tc>
        <w:tc>
          <w:tcPr>
            <w:tcW w:type="dxa" w:w="2076"/>
          </w:tcPr>
          <w:p>
            <w:pPr>
              <w:jc w:val="left"/>
            </w:pPr>
            <w:r>
              <w:rPr/>
              <w:t>其他要求</w:t>
            </w:r>
          </w:p>
        </w:tc>
        <w:tc>
          <w:tcPr>
            <w:tcW w:type="dxa" w:w="2076"/>
          </w:tcPr>
          <w:p>
            <w:pPr>
              <w:jc w:val="left"/>
            </w:pPr>
            <w:r>
              <w:rPr/>
              <w:t>（1）投标人在投标文件中要列明在项目实施过程中要求采购人提供的配合条件（如有）。 （2）投标人应承担所有与编写和提交投标文件有关的费用，不论投标的结果如何，采购人、采购代理机构在任何情况下均无义务和责任承担这些费用。 （3）投标人中标后，不许转包，不许擅自分包。否则，采购人有权单方面终止合同，并令其退场，由此而造成直接经济损失由中标人负责赔偿。</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其他货物</w:t>
            </w:r>
          </w:p>
        </w:tc>
        <w:tc>
          <w:tcPr>
            <w:tcW w:type="dxa" w:w="831"/>
          </w:tcPr>
          <w:p>
            <w:pPr>
              <w:jc w:val="left"/>
            </w:pPr>
            <w:r>
              <w:rPr/>
              <w:t>900万环保卡口抓拍单元</w:t>
            </w:r>
          </w:p>
        </w:tc>
        <w:tc>
          <w:tcPr>
            <w:tcW w:type="dxa" w:w="831"/>
          </w:tcPr>
          <w:p>
            <w:pPr>
              <w:jc w:val="left"/>
            </w:pPr>
            <w:r>
              <w:rPr/>
              <w:t>套</w:t>
            </w:r>
          </w:p>
        </w:tc>
        <w:tc>
          <w:tcPr>
            <w:tcW w:type="dxa" w:w="831"/>
          </w:tcPr>
          <w:p>
            <w:pPr>
              <w:jc w:val="right"/>
            </w:pPr>
            <w:r>
              <w:rPr/>
              <w:t>6.00</w:t>
            </w:r>
          </w:p>
        </w:tc>
        <w:tc>
          <w:tcPr>
            <w:tcW w:type="dxa" w:w="831"/>
          </w:tcPr>
          <w:p>
            <w:pPr>
              <w:jc w:val="right"/>
            </w:pPr>
            <w:r>
              <w:rPr/>
              <w:t>14,767.33</w:t>
            </w:r>
          </w:p>
        </w:tc>
        <w:tc>
          <w:tcPr>
            <w:tcW w:type="dxa" w:w="831"/>
          </w:tcPr>
          <w:p>
            <w:pPr>
              <w:jc w:val="right"/>
            </w:pPr>
            <w:r>
              <w:rPr/>
              <w:t>88,604.00</w:t>
            </w:r>
          </w:p>
        </w:tc>
        <w:tc>
          <w:tcPr>
            <w:tcW w:type="dxa" w:w="831"/>
          </w:tcPr>
          <w:p>
            <w:r>
              <w:rPr/>
              <w:t>其他未列明行业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其他货物</w:t>
            </w:r>
          </w:p>
        </w:tc>
        <w:tc>
          <w:tcPr>
            <w:tcW w:type="dxa" w:w="831"/>
          </w:tcPr>
          <w:p>
            <w:pPr>
              <w:jc w:val="left"/>
            </w:pPr>
            <w:r>
              <w:rPr/>
              <w:t>多合一补光灯</w:t>
            </w:r>
          </w:p>
        </w:tc>
        <w:tc>
          <w:tcPr>
            <w:tcW w:type="dxa" w:w="831"/>
          </w:tcPr>
          <w:p>
            <w:pPr>
              <w:jc w:val="left"/>
            </w:pPr>
            <w:r>
              <w:rPr/>
              <w:t>台</w:t>
            </w:r>
          </w:p>
        </w:tc>
        <w:tc>
          <w:tcPr>
            <w:tcW w:type="dxa" w:w="831"/>
          </w:tcPr>
          <w:p>
            <w:pPr>
              <w:jc w:val="right"/>
            </w:pPr>
            <w:r>
              <w:rPr/>
              <w:t>14.00</w:t>
            </w:r>
          </w:p>
        </w:tc>
        <w:tc>
          <w:tcPr>
            <w:tcW w:type="dxa" w:w="831"/>
          </w:tcPr>
          <w:p>
            <w:pPr>
              <w:jc w:val="right"/>
            </w:pPr>
            <w:r>
              <w:rPr/>
              <w:t>2,800.89</w:t>
            </w:r>
          </w:p>
        </w:tc>
        <w:tc>
          <w:tcPr>
            <w:tcW w:type="dxa" w:w="831"/>
          </w:tcPr>
          <w:p>
            <w:pPr>
              <w:jc w:val="right"/>
            </w:pPr>
            <w:r>
              <w:rPr/>
              <w:t>39,212.39</w:t>
            </w:r>
          </w:p>
        </w:tc>
        <w:tc>
          <w:tcPr>
            <w:tcW w:type="dxa" w:w="831"/>
          </w:tcPr>
          <w:p>
            <w:r>
              <w:rPr/>
              <w:t>其他未列明行业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其他货物</w:t>
            </w:r>
          </w:p>
        </w:tc>
        <w:tc>
          <w:tcPr>
            <w:tcW w:type="dxa" w:w="831"/>
          </w:tcPr>
          <w:p>
            <w:pPr>
              <w:jc w:val="left"/>
            </w:pPr>
            <w:r>
              <w:rPr/>
              <w:t>球机监控</w:t>
            </w:r>
          </w:p>
        </w:tc>
        <w:tc>
          <w:tcPr>
            <w:tcW w:type="dxa" w:w="831"/>
          </w:tcPr>
          <w:p>
            <w:pPr>
              <w:jc w:val="left"/>
            </w:pPr>
            <w:r>
              <w:rPr/>
              <w:t>套</w:t>
            </w:r>
          </w:p>
        </w:tc>
        <w:tc>
          <w:tcPr>
            <w:tcW w:type="dxa" w:w="831"/>
          </w:tcPr>
          <w:p>
            <w:pPr>
              <w:jc w:val="right"/>
            </w:pPr>
            <w:r>
              <w:rPr/>
              <w:t>24.00</w:t>
            </w:r>
          </w:p>
        </w:tc>
        <w:tc>
          <w:tcPr>
            <w:tcW w:type="dxa" w:w="831"/>
          </w:tcPr>
          <w:p>
            <w:pPr>
              <w:jc w:val="right"/>
            </w:pPr>
            <w:r>
              <w:rPr/>
              <w:t>8,400.00</w:t>
            </w:r>
          </w:p>
        </w:tc>
        <w:tc>
          <w:tcPr>
            <w:tcW w:type="dxa" w:w="831"/>
          </w:tcPr>
          <w:p>
            <w:pPr>
              <w:jc w:val="right"/>
            </w:pPr>
            <w:r>
              <w:rPr/>
              <w:t>201,600.00</w:t>
            </w:r>
          </w:p>
        </w:tc>
        <w:tc>
          <w:tcPr>
            <w:tcW w:type="dxa" w:w="831"/>
          </w:tcPr>
          <w:p>
            <w:r>
              <w:rPr/>
              <w:t>其他未列明行业</w:t>
            </w:r>
          </w:p>
        </w:tc>
        <w:tc>
          <w:tcPr>
            <w:tcW w:type="dxa" w:w="831"/>
          </w:tcPr>
          <w:p>
            <w:r>
              <w:rPr/>
              <w:t>详见附表三</w:t>
            </w:r>
          </w:p>
        </w:tc>
      </w:tr>
      <w:tr>
        <w:tc>
          <w:tcPr>
            <w:tcW w:type="dxa" w:w="831"/>
          </w:tcPr>
          <w:p>
            <w:pPr>
              <w:jc w:val="center"/>
            </w:pPr>
            <w:r>
              <w:rPr/>
              <w:t>4</w:t>
            </w:r>
          </w:p>
        </w:tc>
        <w:tc>
          <w:tcPr>
            <w:tcW w:type="dxa" w:w="831"/>
          </w:tcPr>
          <w:p>
            <w:pPr>
              <w:jc w:val="center"/>
            </w:pPr>
            <w:r>
              <w:rPr/>
              <w:t>△</w:t>
            </w:r>
          </w:p>
        </w:tc>
        <w:tc>
          <w:tcPr>
            <w:tcW w:type="dxa" w:w="831"/>
          </w:tcPr>
          <w:p>
            <w:pPr>
              <w:jc w:val="left"/>
            </w:pPr>
            <w:r>
              <w:rPr/>
              <w:t>其他货物</w:t>
            </w:r>
          </w:p>
        </w:tc>
        <w:tc>
          <w:tcPr>
            <w:tcW w:type="dxa" w:w="831"/>
          </w:tcPr>
          <w:p>
            <w:pPr>
              <w:jc w:val="left"/>
            </w:pPr>
            <w:r>
              <w:rPr/>
              <w:t>LCD拼接屏</w:t>
            </w:r>
          </w:p>
        </w:tc>
        <w:tc>
          <w:tcPr>
            <w:tcW w:type="dxa" w:w="831"/>
          </w:tcPr>
          <w:p>
            <w:pPr>
              <w:jc w:val="left"/>
            </w:pPr>
            <w:r>
              <w:rPr/>
              <w:t>台</w:t>
            </w:r>
          </w:p>
        </w:tc>
        <w:tc>
          <w:tcPr>
            <w:tcW w:type="dxa" w:w="831"/>
          </w:tcPr>
          <w:p>
            <w:pPr>
              <w:jc w:val="right"/>
            </w:pPr>
            <w:r>
              <w:rPr/>
              <w:t>36.00</w:t>
            </w:r>
          </w:p>
        </w:tc>
        <w:tc>
          <w:tcPr>
            <w:tcW w:type="dxa" w:w="831"/>
          </w:tcPr>
          <w:p>
            <w:pPr>
              <w:jc w:val="right"/>
            </w:pPr>
            <w:r>
              <w:rPr/>
              <w:t>11,885.00</w:t>
            </w:r>
          </w:p>
        </w:tc>
        <w:tc>
          <w:tcPr>
            <w:tcW w:type="dxa" w:w="831"/>
          </w:tcPr>
          <w:p>
            <w:pPr>
              <w:jc w:val="right"/>
            </w:pPr>
            <w:r>
              <w:rPr/>
              <w:t>427,860.00</w:t>
            </w:r>
          </w:p>
        </w:tc>
        <w:tc>
          <w:tcPr>
            <w:tcW w:type="dxa" w:w="831"/>
          </w:tcPr>
          <w:p>
            <w:r>
              <w:rPr/>
              <w:t>其他未列明行业</w:t>
            </w:r>
          </w:p>
        </w:tc>
        <w:tc>
          <w:tcPr>
            <w:tcW w:type="dxa" w:w="831"/>
          </w:tcPr>
          <w:p>
            <w:r>
              <w:rPr/>
              <w:t>详见附表四</w:t>
            </w:r>
          </w:p>
        </w:tc>
      </w:tr>
      <w:tr>
        <w:tc>
          <w:tcPr>
            <w:tcW w:type="dxa" w:w="831"/>
          </w:tcPr>
          <w:p>
            <w:pPr>
              <w:jc w:val="center"/>
            </w:pPr>
            <w:r>
              <w:rPr/>
              <w:t>5</w:t>
            </w:r>
          </w:p>
        </w:tc>
        <w:tc>
          <w:tcPr>
            <w:tcW w:type="dxa" w:w="831"/>
          </w:tcPr>
          <w:p>
            <w:pPr>
              <w:jc w:val="center"/>
            </w:pPr>
            <w:r>
              <w:rPr/>
              <w:t>△</w:t>
            </w:r>
          </w:p>
        </w:tc>
        <w:tc>
          <w:tcPr>
            <w:tcW w:type="dxa" w:w="831"/>
          </w:tcPr>
          <w:p>
            <w:pPr>
              <w:jc w:val="left"/>
            </w:pPr>
            <w:r>
              <w:rPr/>
              <w:t>其他货物</w:t>
            </w:r>
          </w:p>
        </w:tc>
        <w:tc>
          <w:tcPr>
            <w:tcW w:type="dxa" w:w="831"/>
          </w:tcPr>
          <w:p>
            <w:pPr>
              <w:jc w:val="left"/>
            </w:pPr>
            <w:r>
              <w:rPr/>
              <w:t>B21一体机</w:t>
            </w:r>
          </w:p>
        </w:tc>
        <w:tc>
          <w:tcPr>
            <w:tcW w:type="dxa" w:w="831"/>
          </w:tcPr>
          <w:p>
            <w:pPr>
              <w:jc w:val="left"/>
            </w:pPr>
            <w:r>
              <w:rPr/>
              <w:t>台</w:t>
            </w:r>
          </w:p>
        </w:tc>
        <w:tc>
          <w:tcPr>
            <w:tcW w:type="dxa" w:w="831"/>
          </w:tcPr>
          <w:p>
            <w:pPr>
              <w:jc w:val="right"/>
            </w:pPr>
            <w:r>
              <w:rPr/>
              <w:t>4.00</w:t>
            </w:r>
          </w:p>
        </w:tc>
        <w:tc>
          <w:tcPr>
            <w:tcW w:type="dxa" w:w="831"/>
          </w:tcPr>
          <w:p>
            <w:pPr>
              <w:jc w:val="right"/>
            </w:pPr>
            <w:r>
              <w:rPr/>
              <w:t>41,522.12</w:t>
            </w:r>
          </w:p>
        </w:tc>
        <w:tc>
          <w:tcPr>
            <w:tcW w:type="dxa" w:w="831"/>
          </w:tcPr>
          <w:p>
            <w:pPr>
              <w:jc w:val="right"/>
            </w:pPr>
            <w:r>
              <w:rPr/>
              <w:t>166,088.50</w:t>
            </w:r>
          </w:p>
        </w:tc>
        <w:tc>
          <w:tcPr>
            <w:tcW w:type="dxa" w:w="831"/>
          </w:tcPr>
          <w:p>
            <w:r>
              <w:rPr/>
              <w:t>其他未列明行业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其他货物</w:t>
            </w:r>
          </w:p>
        </w:tc>
        <w:tc>
          <w:tcPr>
            <w:tcW w:type="dxa" w:w="831"/>
          </w:tcPr>
          <w:p>
            <w:pPr>
              <w:jc w:val="left"/>
            </w:pPr>
            <w:r>
              <w:rPr/>
              <w:t>河源市公安局交警支队205国道科技示范公路项目</w:t>
            </w:r>
          </w:p>
        </w:tc>
        <w:tc>
          <w:tcPr>
            <w:tcW w:type="dxa" w:w="831"/>
          </w:tcPr>
          <w:p>
            <w:pPr>
              <w:jc w:val="left"/>
            </w:pPr>
            <w:r>
              <w:rPr/>
              <w:t>项</w:t>
            </w:r>
          </w:p>
        </w:tc>
        <w:tc>
          <w:tcPr>
            <w:tcW w:type="dxa" w:w="831"/>
          </w:tcPr>
          <w:p>
            <w:pPr>
              <w:jc w:val="right"/>
            </w:pPr>
            <w:r>
              <w:rPr/>
              <w:t>1.00</w:t>
            </w:r>
          </w:p>
        </w:tc>
        <w:tc>
          <w:tcPr>
            <w:tcW w:type="dxa" w:w="831"/>
          </w:tcPr>
          <w:p>
            <w:pPr>
              <w:jc w:val="right"/>
            </w:pPr>
            <w:r>
              <w:rPr/>
              <w:t>2,842,635.11</w:t>
            </w:r>
          </w:p>
        </w:tc>
        <w:tc>
          <w:tcPr>
            <w:tcW w:type="dxa" w:w="831"/>
          </w:tcPr>
          <w:p>
            <w:pPr>
              <w:jc w:val="right"/>
            </w:pPr>
            <w:r>
              <w:rPr/>
              <w:t>2,842,635.11</w:t>
            </w:r>
          </w:p>
        </w:tc>
        <w:tc>
          <w:tcPr>
            <w:tcW w:type="dxa" w:w="831"/>
          </w:tcPr>
          <w:p>
            <w:r>
              <w:rPr/>
              <w:t>其他未列明行业</w:t>
            </w:r>
          </w:p>
        </w:tc>
        <w:tc>
          <w:tcPr>
            <w:tcW w:type="dxa" w:w="831"/>
          </w:tcPr>
          <w:p>
            <w:r>
              <w:rPr/>
              <w:t>详见附表六</w:t>
            </w:r>
          </w:p>
        </w:tc>
      </w:tr>
    </w:tbl>
    <w:p/>
    <w:p>
      <w:r>
        <w:rPr>
          <w:b/>
        </w:rPr>
        <w:t>附表</w:t>
      </w:r>
      <w:r>
        <w:rPr>
          <w:b/>
        </w:rPr>
        <w:t>一</w:t>
      </w:r>
      <w:r>
        <w:rPr>
          <w:b/>
        </w:rPr>
        <w:t>：</w:t>
      </w:r>
      <w:r>
        <w:rPr>
          <w:b/>
        </w:rPr>
        <w:t>900万环保卡口抓拍单元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399"/>
              <w:gridCol w:w="751"/>
              <w:gridCol w:w="3242"/>
              <w:gridCol w:w="406"/>
              <w:gridCol w:w="399"/>
              <w:gridCol w:w="399"/>
            </w:tblGrid>
            <w:tr>
              <w:tc>
                <w:tcPr>
                  <w:tcW w:type="dxa" w:w="399"/>
                  <w:tcBorders>
                    <w:top w:val="single" w:color="000000" w:sz="4"/>
                    <w:left w:val="single" w:color="000000" w:sz="4"/>
                    <w:bottom w:val="single" w:color="000000" w:sz="4"/>
                    <w:right w:val="single" w:color="000000" w:sz="4"/>
                  </w:tcBorders>
                </w:tcPr>
                <w:p>
                  <w:pPr>
                    <w:jc w:val="center"/>
                  </w:pPr>
                  <w:r>
                    <w:rPr>
                      <w:b/>
                      <w:color w:val="000000"/>
                      <w:sz w:val="24"/>
                    </w:rPr>
                    <w:t>序号</w:t>
                  </w:r>
                </w:p>
              </w:tc>
              <w:tc>
                <w:tcPr>
                  <w:tcW w:type="dxa" w:w="751"/>
                  <w:tcBorders>
                    <w:top w:val="single" w:color="000000" w:sz="4"/>
                    <w:left w:val="none" w:color="000000" w:sz="4"/>
                    <w:bottom w:val="single" w:color="000000" w:sz="4"/>
                    <w:right w:val="single" w:color="000000" w:sz="4"/>
                  </w:tcBorders>
                </w:tcPr>
                <w:p>
                  <w:pPr>
                    <w:jc w:val="center"/>
                  </w:pPr>
                  <w:r>
                    <w:rPr>
                      <w:b/>
                      <w:color w:val="000000"/>
                      <w:sz w:val="24"/>
                    </w:rPr>
                    <w:t>设备名称</w:t>
                  </w:r>
                </w:p>
              </w:tc>
              <w:tc>
                <w:tcPr>
                  <w:tcW w:type="dxa" w:w="3242"/>
                  <w:tcBorders>
                    <w:top w:val="single" w:color="000000" w:sz="4"/>
                    <w:left w:val="none" w:color="000000" w:sz="4"/>
                    <w:bottom w:val="single" w:color="000000" w:sz="4"/>
                    <w:right w:val="single" w:color="000000" w:sz="4"/>
                  </w:tcBorders>
                </w:tcPr>
                <w:p>
                  <w:pPr>
                    <w:jc w:val="center"/>
                  </w:pPr>
                  <w:r>
                    <w:rPr>
                      <w:b/>
                      <w:color w:val="000000"/>
                      <w:sz w:val="24"/>
                    </w:rPr>
                    <w:t>技术参数</w:t>
                  </w:r>
                </w:p>
              </w:tc>
              <w:tc>
                <w:tcPr>
                  <w:tcW w:type="dxa" w:w="406"/>
                  <w:tcBorders>
                    <w:top w:val="single" w:color="000000" w:sz="4"/>
                    <w:left w:val="none" w:color="000000" w:sz="4"/>
                    <w:bottom w:val="single" w:color="000000" w:sz="4"/>
                    <w:right w:val="single" w:color="000000" w:sz="4"/>
                  </w:tcBorders>
                </w:tcPr>
                <w:p>
                  <w:pPr>
                    <w:jc w:val="center"/>
                  </w:pPr>
                  <w:r>
                    <w:rPr>
                      <w:b/>
                      <w:color w:val="000000"/>
                      <w:sz w:val="24"/>
                    </w:rPr>
                    <w:t>单位</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数量</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备注</w:t>
                  </w:r>
                </w:p>
              </w:tc>
            </w:tr>
            <w:tr>
              <w:tc>
                <w:tcPr>
                  <w:tcW w:type="dxa" w:w="5596"/>
                  <w:gridSpan w:val="6"/>
                  <w:tcBorders>
                    <w:top w:val="none" w:color="000000" w:sz="4"/>
                    <w:left w:val="single" w:color="000000" w:sz="4"/>
                    <w:bottom w:val="single" w:color="000000" w:sz="4"/>
                    <w:right w:val="single" w:color="000000" w:sz="4"/>
                  </w:tcBorders>
                </w:tcPr>
                <w:p>
                  <w:pPr>
                    <w:jc w:val="left"/>
                  </w:pPr>
                  <w:r>
                    <w:rPr>
                      <w:b/>
                      <w:color w:val="000000"/>
                      <w:sz w:val="24"/>
                    </w:rPr>
                    <w:t>1.</w:t>
                  </w:r>
                  <w:r>
                    <w:rPr>
                      <w:b/>
                      <w:color w:val="000000"/>
                      <w:sz w:val="24"/>
                    </w:rPr>
                    <w:t>道路车辆智能监测部分（卡口）</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900</w:t>
                  </w:r>
                  <w:r>
                    <w:rPr>
                      <w:color w:val="000000"/>
                      <w:sz w:val="24"/>
                    </w:rPr>
                    <w:t>万环保卡口抓拍单元</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1</w:t>
                  </w:r>
                  <w:r>
                    <w:rPr>
                      <w:color w:val="000000"/>
                      <w:sz w:val="24"/>
                    </w:rPr>
                    <w:t>、有效像素：≥900W；分辨率：≥4096×2160；帧率≥25fps；</w:t>
                  </w:r>
                  <w:r>
                    <w:br/>
                  </w:r>
                  <w:r>
                    <w:rPr>
                      <w:color w:val="000000"/>
                      <w:sz w:val="24"/>
                    </w:rPr>
                    <w:t>2、感光器件：两个≥1英寸全局曝光CMOS；</w:t>
                  </w:r>
                  <w:r>
                    <w:br/>
                  </w:r>
                  <w:r>
                    <w:rPr>
                      <w:color w:val="000000"/>
                      <w:sz w:val="24"/>
                    </w:rPr>
                    <w:t>3、镜头：专用镜头25mm（可根据实际场景选配）；</w:t>
                  </w:r>
                  <w:r>
                    <w:br/>
                  </w:r>
                  <w:r>
                    <w:rPr>
                      <w:color w:val="000000"/>
                      <w:sz w:val="24"/>
                    </w:rPr>
                    <w:t>4、偏振镜：相机内置偏振镜；</w:t>
                  </w:r>
                  <w:r>
                    <w:br/>
                  </w:r>
                  <w:r>
                    <w:rPr>
                      <w:color w:val="000000"/>
                      <w:sz w:val="24"/>
                    </w:rPr>
                    <w:t>5、视频压缩标准：H.265/H.264/MJPEG；</w:t>
                  </w:r>
                  <w:r>
                    <w:br/>
                  </w:r>
                  <w:r>
                    <w:rPr>
                      <w:color w:val="000000"/>
                      <w:sz w:val="24"/>
                    </w:rPr>
                    <w:t>6、图像输出格式：JPEG；</w:t>
                  </w:r>
                  <w:r>
                    <w:br/>
                  </w:r>
                  <w:r>
                    <w:rPr>
                      <w:color w:val="000000"/>
                      <w:sz w:val="24"/>
                    </w:rPr>
                    <w:t>7、接口：4个RS-485接口,1个RS-232接口；2个RJ45 10M/100M/1000M自适应以太网口；</w:t>
                  </w:r>
                  <w:r>
                    <w:br/>
                  </w:r>
                  <w:r>
                    <w:rPr>
                      <w:color w:val="000000"/>
                      <w:sz w:val="24"/>
                    </w:rPr>
                    <w:t>8、触发输出：7路（光耦隔离2500VAC/5V TTL电平量），作为补光灯同步输出控制；一路继电器输出口；</w:t>
                  </w:r>
                  <w:r>
                    <w:br/>
                  </w:r>
                  <w:r>
                    <w:rPr>
                      <w:color w:val="000000"/>
                      <w:sz w:val="24"/>
                    </w:rPr>
                    <w:t>9、存储支持：支持TF卡口、云存储；</w:t>
                  </w:r>
                  <w:r>
                    <w:br/>
                  </w:r>
                  <w:r>
                    <w:rPr>
                      <w:color w:val="000000"/>
                      <w:sz w:val="24"/>
                    </w:rPr>
                    <w:t>10、终端接入：支持终端服务器接入；</w:t>
                  </w:r>
                  <w:r>
                    <w:br/>
                  </w:r>
                  <w:r>
                    <w:rPr>
                      <w:color w:val="000000"/>
                      <w:sz w:val="24"/>
                    </w:rPr>
                    <w:t>11、工作电压：100VAC～240VAC；频率：48Hz～52Hz；</w:t>
                  </w:r>
                  <w:r>
                    <w:br/>
                  </w:r>
                  <w:r>
                    <w:rPr>
                      <w:color w:val="000000"/>
                      <w:sz w:val="24"/>
                    </w:rPr>
                    <w:t>12、功耗：＜20W；</w:t>
                  </w:r>
                  <w:r>
                    <w:br/>
                  </w:r>
                  <w:r>
                    <w:rPr>
                      <w:color w:val="000000"/>
                      <w:sz w:val="24"/>
                    </w:rPr>
                    <w:t>13、目标检测：机动车抓拍；违章检测：超速、压线、逆行、禁止大货车等违法行为车辆特征检测：车牌识别、车型识别、车身颜色识别(环境光有要求)、违章检测、车辆品牌等特征检测；</w:t>
                  </w:r>
                  <w:r>
                    <w:br/>
                  </w:r>
                  <w:r>
                    <w:rPr>
                      <w:color w:val="000000"/>
                      <w:sz w:val="24"/>
                    </w:rPr>
                    <w:t>14、包含摄像机、高清镜头、室外防护罩、内置补光灯、风扇、电源适配器、安装万向节等；</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6</w:t>
                  </w:r>
                </w:p>
              </w:tc>
              <w:tc>
                <w:tcPr>
                  <w:tcW w:type="dxa" w:w="399"/>
                  <w:tcBorders>
                    <w:top w:val="none" w:color="000000" w:sz="4"/>
                    <w:left w:val="none" w:color="000000" w:sz="4"/>
                    <w:bottom w:val="single" w:color="000000" w:sz="4"/>
                    <w:right w:val="single" w:color="000000" w:sz="4"/>
                  </w:tcBorders>
                </w:tcPr>
                <w:p>
                  <w:pPr>
                    <w:jc w:val="left"/>
                  </w:pPr>
                  <w:r>
                    <w:rPr>
                      <w:color w:val="000000"/>
                      <w:sz w:val="24"/>
                    </w:rPr>
                    <w:t>核心产品</w:t>
                  </w:r>
                </w:p>
              </w:tc>
            </w:tr>
          </w:tbl>
        </w:tc>
      </w:tr>
      <w:tr>
        <w:tc>
          <w:tcPr>
            <w:tcW w:type="dxa" w:w="2076"/>
          </w:tcPr>
          <w:p>
            <w:r>
              <w:rPr/>
              <w:t>▲</w:t>
            </w:r>
          </w:p>
        </w:tc>
        <w:tc>
          <w:tcPr>
            <w:tcW w:type="dxa" w:w="415"/>
          </w:tcPr>
          <w:p>
            <w:r>
              <w:rPr/>
              <w:t>2</w:t>
            </w:r>
          </w:p>
        </w:tc>
        <w:tc>
          <w:tcPr>
            <w:tcW w:type="dxa" w:w="5814"/>
          </w:tcPr>
          <w:p/>
          <w:tbl>
            <w:tblGrid>
              <w:gridCol w:w="399"/>
              <w:gridCol w:w="751"/>
              <w:gridCol w:w="3242"/>
              <w:gridCol w:w="406"/>
              <w:gridCol w:w="399"/>
              <w:gridCol w:w="399"/>
            </w:tblGrid>
            <w:tr>
              <w:tc>
                <w:tcPr>
                  <w:tcW w:type="dxa" w:w="399"/>
                  <w:tcBorders>
                    <w:top w:val="single" w:color="000000" w:sz="4"/>
                    <w:left w:val="single" w:color="000000" w:sz="4"/>
                    <w:bottom w:val="single" w:color="000000" w:sz="4"/>
                    <w:right w:val="single" w:color="000000" w:sz="4"/>
                  </w:tcBorders>
                </w:tcPr>
                <w:p>
                  <w:pPr>
                    <w:jc w:val="center"/>
                  </w:pPr>
                  <w:r>
                    <w:rPr>
                      <w:b/>
                      <w:color w:val="000000"/>
                      <w:sz w:val="24"/>
                    </w:rPr>
                    <w:t>序号</w:t>
                  </w:r>
                </w:p>
              </w:tc>
              <w:tc>
                <w:tcPr>
                  <w:tcW w:type="dxa" w:w="751"/>
                  <w:tcBorders>
                    <w:top w:val="single" w:color="000000" w:sz="4"/>
                    <w:left w:val="none" w:color="000000" w:sz="4"/>
                    <w:bottom w:val="single" w:color="000000" w:sz="4"/>
                    <w:right w:val="single" w:color="000000" w:sz="4"/>
                  </w:tcBorders>
                </w:tcPr>
                <w:p>
                  <w:pPr>
                    <w:jc w:val="center"/>
                  </w:pPr>
                  <w:r>
                    <w:rPr>
                      <w:b/>
                      <w:color w:val="000000"/>
                      <w:sz w:val="24"/>
                    </w:rPr>
                    <w:t>设备名称</w:t>
                  </w:r>
                </w:p>
              </w:tc>
              <w:tc>
                <w:tcPr>
                  <w:tcW w:type="dxa" w:w="3242"/>
                  <w:tcBorders>
                    <w:top w:val="single" w:color="000000" w:sz="4"/>
                    <w:left w:val="none" w:color="000000" w:sz="4"/>
                    <w:bottom w:val="single" w:color="000000" w:sz="4"/>
                    <w:right w:val="single" w:color="000000" w:sz="4"/>
                  </w:tcBorders>
                </w:tcPr>
                <w:p>
                  <w:pPr>
                    <w:jc w:val="center"/>
                  </w:pPr>
                  <w:r>
                    <w:rPr>
                      <w:b/>
                      <w:color w:val="000000"/>
                      <w:sz w:val="24"/>
                    </w:rPr>
                    <w:t>技术参数</w:t>
                  </w:r>
                </w:p>
              </w:tc>
              <w:tc>
                <w:tcPr>
                  <w:tcW w:type="dxa" w:w="406"/>
                  <w:tcBorders>
                    <w:top w:val="single" w:color="000000" w:sz="4"/>
                    <w:left w:val="none" w:color="000000" w:sz="4"/>
                    <w:bottom w:val="single" w:color="000000" w:sz="4"/>
                    <w:right w:val="single" w:color="000000" w:sz="4"/>
                  </w:tcBorders>
                </w:tcPr>
                <w:p>
                  <w:pPr>
                    <w:jc w:val="center"/>
                  </w:pPr>
                  <w:r>
                    <w:rPr>
                      <w:b/>
                      <w:color w:val="000000"/>
                      <w:sz w:val="24"/>
                    </w:rPr>
                    <w:t>单位</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数量</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备注</w:t>
                  </w:r>
                </w:p>
              </w:tc>
            </w:tr>
            <w:tr>
              <w:tc>
                <w:tcPr>
                  <w:tcW w:type="dxa" w:w="5596"/>
                  <w:gridSpan w:val="6"/>
                  <w:tcBorders>
                    <w:top w:val="none" w:color="000000" w:sz="4"/>
                    <w:left w:val="single" w:color="000000" w:sz="4"/>
                    <w:bottom w:val="single" w:color="000000" w:sz="4"/>
                    <w:right w:val="single" w:color="000000" w:sz="4"/>
                  </w:tcBorders>
                </w:tcPr>
                <w:p>
                  <w:pPr>
                    <w:jc w:val="left"/>
                  </w:pPr>
                  <w:r>
                    <w:rPr>
                      <w:b/>
                      <w:color w:val="000000"/>
                      <w:sz w:val="24"/>
                    </w:rPr>
                    <w:t>1.</w:t>
                  </w:r>
                  <w:r>
                    <w:rPr>
                      <w:b/>
                      <w:color w:val="000000"/>
                      <w:sz w:val="24"/>
                    </w:rPr>
                    <w:t>道路车辆智能监测部分（卡口）</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900</w:t>
                  </w:r>
                  <w:r>
                    <w:rPr>
                      <w:color w:val="000000"/>
                      <w:sz w:val="24"/>
                    </w:rPr>
                    <w:t>万环保卡口抓拍单元</w:t>
                  </w:r>
                </w:p>
              </w:tc>
              <w:tc>
                <w:tcPr>
                  <w:tcW w:type="dxa" w:w="3242"/>
                  <w:tcBorders>
                    <w:top w:val="none" w:color="000000" w:sz="4"/>
                    <w:left w:val="none" w:color="000000" w:sz="4"/>
                    <w:bottom w:val="single" w:color="000000" w:sz="4"/>
                    <w:right w:val="single" w:color="000000" w:sz="4"/>
                  </w:tcBorders>
                  <w:vAlign w:val="top"/>
                </w:tcPr>
                <w:p>
                  <w:pPr>
                    <w:jc w:val="left"/>
                  </w:pPr>
                  <w:r>
                    <w:br/>
                  </w:r>
                  <w:r>
                    <w:rPr>
                      <w:b/>
                      <w:color w:val="000000"/>
                      <w:sz w:val="24"/>
                    </w:rPr>
                    <w:t>15</w:t>
                  </w:r>
                  <w:r>
                    <w:rPr>
                      <w:b/>
                      <w:color w:val="000000"/>
                      <w:sz w:val="24"/>
                    </w:rPr>
                    <w:t>、▲支持Web界面进行亮度调节、自检等，并可设置显示屏滚动速度、过车信息存在时间、屏显状态（普通与过车）、类别（车牌号码、用户类型、系统日期/时间、车主姓名等信息）、显示颜色、显示动作等；（提供公安部权威检测机构出具的检测报告复印件，并加盖原厂商公章或投标专用章）</w:t>
                  </w:r>
                  <w:r>
                    <w:br/>
                  </w:r>
                  <w:r>
                    <w:rPr>
                      <w:b/>
                      <w:color w:val="000000"/>
                      <w:sz w:val="24"/>
                    </w:rPr>
                    <w:t>16</w:t>
                  </w:r>
                  <w:r>
                    <w:rPr>
                      <w:b/>
                      <w:color w:val="000000"/>
                      <w:sz w:val="24"/>
                    </w:rPr>
                    <w:t>、▲支持车窗人脸检测功能，支持主、副驾驶的人脸扣取和图片输出；（提供公安部权威检测机构出具的检测报告复印件，并加盖原厂商公章或投标专用章）</w:t>
                  </w:r>
                  <w:r>
                    <w:br/>
                  </w:r>
                  <w:r>
                    <w:rPr>
                      <w:b/>
                      <w:color w:val="000000"/>
                      <w:sz w:val="24"/>
                    </w:rPr>
                    <w:t>17</w:t>
                  </w:r>
                  <w:r>
                    <w:rPr>
                      <w:b/>
                      <w:color w:val="000000"/>
                      <w:sz w:val="24"/>
                    </w:rPr>
                    <w:t>、▲支持单张图与合成图的OSD叠加，并可根据RGB分量值对叠加的字体颜色进行更改；（提供公安部权威检测机构出具的检测报告复印件，并加盖原厂商公章或投标专用章）</w:t>
                  </w:r>
                </w:p>
              </w:tc>
              <w:tc>
                <w:tcPr>
                  <w:tcW w:type="dxa" w:w="406"/>
                  <w:tcBorders>
                    <w:top w:val="none" w:color="000000" w:sz="4"/>
                    <w:left w:val="none" w:color="000000" w:sz="4"/>
                    <w:bottom w:val="single" w:color="000000" w:sz="4"/>
                    <w:right w:val="single" w:color="000000" w:sz="4"/>
                  </w:tcBorders>
                </w:tcPr>
                <w:p>
                  <w:r>
                    <w:rPr/>
                    <w:t xml:space="preserve"> </w:t>
                  </w:r>
                </w:p>
              </w:tc>
              <w:tc>
                <w:tcPr>
                  <w:tcW w:type="dxa" w:w="399"/>
                  <w:tcBorders>
                    <w:top w:val="none" w:color="000000" w:sz="4"/>
                    <w:left w:val="none" w:color="000000" w:sz="4"/>
                    <w:bottom w:val="single" w:color="000000" w:sz="4"/>
                    <w:right w:val="single" w:color="000000" w:sz="4"/>
                  </w:tcBorders>
                </w:tcPr>
                <w:p>
                  <w:r>
                    <w:rPr/>
                    <w:t xml:space="preserve"> </w:t>
                  </w:r>
                </w:p>
              </w:tc>
              <w:tc>
                <w:tcPr>
                  <w:tcW w:type="dxa" w:w="399"/>
                  <w:tcBorders>
                    <w:top w:val="none" w:color="000000" w:sz="4"/>
                    <w:left w:val="none" w:color="000000" w:sz="4"/>
                    <w:bottom w:val="single" w:color="000000" w:sz="4"/>
                    <w:right w:val="single" w:color="000000" w:sz="4"/>
                  </w:tcBorders>
                </w:tcPr>
                <w:p>
                  <w:r>
                    <w:rPr/>
                    <w:t xml:space="preserve"> </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多合一补光灯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399"/>
              <w:gridCol w:w="751"/>
              <w:gridCol w:w="3242"/>
              <w:gridCol w:w="406"/>
              <w:gridCol w:w="399"/>
              <w:gridCol w:w="399"/>
            </w:tblGrid>
            <w:tr>
              <w:tc>
                <w:tcPr>
                  <w:tcW w:type="dxa" w:w="399"/>
                  <w:tcBorders>
                    <w:top w:val="single" w:color="000000" w:sz="4"/>
                    <w:left w:val="single" w:color="000000" w:sz="4"/>
                    <w:bottom w:val="single" w:color="000000" w:sz="4"/>
                    <w:right w:val="single" w:color="000000" w:sz="4"/>
                  </w:tcBorders>
                </w:tcPr>
                <w:p>
                  <w:pPr>
                    <w:jc w:val="center"/>
                  </w:pPr>
                  <w:r>
                    <w:rPr>
                      <w:b/>
                      <w:color w:val="000000"/>
                      <w:sz w:val="24"/>
                    </w:rPr>
                    <w:t>序号</w:t>
                  </w:r>
                </w:p>
              </w:tc>
              <w:tc>
                <w:tcPr>
                  <w:tcW w:type="dxa" w:w="751"/>
                  <w:tcBorders>
                    <w:top w:val="single" w:color="000000" w:sz="4"/>
                    <w:left w:val="none" w:color="000000" w:sz="4"/>
                    <w:bottom w:val="single" w:color="000000" w:sz="4"/>
                    <w:right w:val="single" w:color="000000" w:sz="4"/>
                  </w:tcBorders>
                </w:tcPr>
                <w:p>
                  <w:pPr>
                    <w:jc w:val="center"/>
                  </w:pPr>
                  <w:r>
                    <w:rPr>
                      <w:b/>
                      <w:color w:val="000000"/>
                      <w:sz w:val="24"/>
                    </w:rPr>
                    <w:t>设备名称</w:t>
                  </w:r>
                </w:p>
              </w:tc>
              <w:tc>
                <w:tcPr>
                  <w:tcW w:type="dxa" w:w="3242"/>
                  <w:tcBorders>
                    <w:top w:val="single" w:color="000000" w:sz="4"/>
                    <w:left w:val="none" w:color="000000" w:sz="4"/>
                    <w:bottom w:val="single" w:color="000000" w:sz="4"/>
                    <w:right w:val="single" w:color="000000" w:sz="4"/>
                  </w:tcBorders>
                </w:tcPr>
                <w:p>
                  <w:pPr>
                    <w:jc w:val="center"/>
                  </w:pPr>
                  <w:r>
                    <w:rPr>
                      <w:b/>
                      <w:color w:val="000000"/>
                      <w:sz w:val="24"/>
                    </w:rPr>
                    <w:t>技术参数</w:t>
                  </w:r>
                </w:p>
              </w:tc>
              <w:tc>
                <w:tcPr>
                  <w:tcW w:type="dxa" w:w="406"/>
                  <w:tcBorders>
                    <w:top w:val="single" w:color="000000" w:sz="4"/>
                    <w:left w:val="none" w:color="000000" w:sz="4"/>
                    <w:bottom w:val="single" w:color="000000" w:sz="4"/>
                    <w:right w:val="single" w:color="000000" w:sz="4"/>
                  </w:tcBorders>
                </w:tcPr>
                <w:p>
                  <w:pPr>
                    <w:jc w:val="center"/>
                  </w:pPr>
                  <w:r>
                    <w:rPr>
                      <w:b/>
                      <w:color w:val="000000"/>
                      <w:sz w:val="24"/>
                    </w:rPr>
                    <w:t>单位</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数量</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备注</w:t>
                  </w:r>
                </w:p>
              </w:tc>
            </w:tr>
            <w:tr>
              <w:tc>
                <w:tcPr>
                  <w:tcW w:type="dxa" w:w="5596"/>
                  <w:gridSpan w:val="6"/>
                  <w:tcBorders>
                    <w:top w:val="none" w:color="000000" w:sz="4"/>
                    <w:left w:val="single" w:color="000000" w:sz="4"/>
                    <w:bottom w:val="single" w:color="000000" w:sz="4"/>
                    <w:right w:val="single" w:color="000000" w:sz="4"/>
                  </w:tcBorders>
                </w:tcPr>
                <w:p>
                  <w:pPr>
                    <w:jc w:val="left"/>
                  </w:pPr>
                  <w:r>
                    <w:rPr>
                      <w:b/>
                      <w:color w:val="000000"/>
                      <w:sz w:val="24"/>
                    </w:rPr>
                    <w:t>1.</w:t>
                  </w:r>
                  <w:r>
                    <w:rPr>
                      <w:b/>
                      <w:color w:val="000000"/>
                      <w:sz w:val="24"/>
                    </w:rPr>
                    <w:t>道路车辆智能监测部分（卡口）</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3</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多合一补光灯</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【具有≥24颗暖光LED】【白光爆闪】【红外爆闪】；</w:t>
                  </w:r>
                  <w:r>
                    <w:br/>
                  </w:r>
                  <w:r>
                    <w:rPr>
                      <w:color w:val="000000"/>
                      <w:sz w:val="24"/>
                    </w:rPr>
                    <w:t>1、具有≥24颗大功率进口LED灯珠，须支持LED频闪，白光气体爆闪，红外气体爆闪。LED频闪须支持PWM跟随触发，须具有频率及占空比保护功能，发光角度≥10°；气体爆闪须具有防误触发功能，提高产品寿命。可覆盖≥1个车道；</w:t>
                  </w:r>
                  <w:r>
                    <w:br/>
                  </w:r>
                  <w:r>
                    <w:rPr>
                      <w:color w:val="000000"/>
                      <w:sz w:val="24"/>
                    </w:rPr>
                    <w:t>2、采用≥24颗原装进口高亮度LED芯片，寿命长，稳定性好，发光效率高；</w:t>
                  </w:r>
                  <w:r>
                    <w:br/>
                  </w:r>
                  <w:r>
                    <w:rPr>
                      <w:color w:val="000000"/>
                      <w:sz w:val="24"/>
                    </w:rPr>
                    <w:t>3、气体光源回电时间小于67ms，支持超速连拍，；</w:t>
                  </w:r>
                  <w:r>
                    <w:br/>
                  </w:r>
                  <w:r>
                    <w:rPr>
                      <w:color w:val="000000"/>
                      <w:sz w:val="24"/>
                    </w:rPr>
                    <w:t>4、气体补光控制具有峰值抑制功能；</w:t>
                  </w:r>
                  <w:r>
                    <w:br/>
                  </w:r>
                  <w:r>
                    <w:rPr>
                      <w:color w:val="000000"/>
                      <w:sz w:val="24"/>
                    </w:rPr>
                    <w:t>5、具有电压值、电流值、故障等状态监测功能【选配】；</w:t>
                  </w:r>
                  <w:r>
                    <w:br/>
                  </w:r>
                  <w:r>
                    <w:rPr>
                      <w:color w:val="000000"/>
                      <w:sz w:val="24"/>
                    </w:rPr>
                    <w:t>6、支持LED灯频闪、白光气体爆闪，红外气体爆闪；</w:t>
                  </w:r>
                  <w:r>
                    <w:br/>
                  </w:r>
                  <w:r>
                    <w:rPr>
                      <w:color w:val="000000"/>
                      <w:sz w:val="24"/>
                    </w:rPr>
                    <w:t>7、支持相机误触发保护功能，触发信号输入异常时自动保护、且自动恢复；</w:t>
                  </w:r>
                  <w:r>
                    <w:br/>
                  </w:r>
                  <w:r>
                    <w:rPr>
                      <w:color w:val="000000"/>
                      <w:sz w:val="24"/>
                    </w:rPr>
                    <w:t>8、结构≥IP65设计，增加透气孔，保持内外压强均衡，可靠防水、防尘；</w:t>
                  </w:r>
                  <w:r>
                    <w:br/>
                  </w:r>
                  <w:r>
                    <w:rPr>
                      <w:color w:val="000000"/>
                      <w:sz w:val="24"/>
                    </w:rPr>
                    <w:t>12、支持气体放电模式切换功能，可通过开关量或电平量或RS485信号控制红外透光叶片转动，切换成对应的红外或白光模式；</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14</w:t>
                  </w:r>
                </w:p>
              </w:tc>
              <w:tc>
                <w:tcPr>
                  <w:tcW w:type="dxa" w:w="399"/>
                  <w:tcBorders>
                    <w:top w:val="none" w:color="000000" w:sz="4"/>
                    <w:left w:val="none" w:color="000000" w:sz="4"/>
                    <w:bottom w:val="single" w:color="000000" w:sz="4"/>
                    <w:right w:val="single" w:color="000000" w:sz="4"/>
                  </w:tcBorders>
                </w:tcPr>
                <w:p>
                  <w:pPr>
                    <w:jc w:val="left"/>
                  </w:pPr>
                  <w:r>
                    <w:rPr>
                      <w:color w:val="000000"/>
                      <w:sz w:val="24"/>
                    </w:rPr>
                    <w:t>核心产品</w:t>
                  </w:r>
                </w:p>
              </w:tc>
            </w:tr>
          </w:tbl>
        </w:tc>
      </w:tr>
      <w:tr>
        <w:tc>
          <w:tcPr>
            <w:tcW w:type="dxa" w:w="2076"/>
          </w:tcPr>
          <w:p>
            <w:r>
              <w:rPr/>
              <w:t>▲</w:t>
            </w:r>
          </w:p>
        </w:tc>
        <w:tc>
          <w:tcPr>
            <w:tcW w:type="dxa" w:w="415"/>
          </w:tcPr>
          <w:p>
            <w:r>
              <w:rPr/>
              <w:t>2</w:t>
            </w:r>
          </w:p>
        </w:tc>
        <w:tc>
          <w:tcPr>
            <w:tcW w:type="dxa" w:w="5814"/>
          </w:tcPr>
          <w:p/>
          <w:tbl>
            <w:tblGrid>
              <w:gridCol w:w="399"/>
              <w:gridCol w:w="751"/>
              <w:gridCol w:w="3242"/>
              <w:gridCol w:w="406"/>
              <w:gridCol w:w="399"/>
              <w:gridCol w:w="399"/>
            </w:tblGrid>
            <w:tr>
              <w:tc>
                <w:tcPr>
                  <w:tcW w:type="dxa" w:w="399"/>
                  <w:tcBorders>
                    <w:top w:val="single" w:color="000000" w:sz="4"/>
                    <w:left w:val="single" w:color="000000" w:sz="4"/>
                    <w:bottom w:val="single" w:color="000000" w:sz="4"/>
                    <w:right w:val="single" w:color="000000" w:sz="4"/>
                  </w:tcBorders>
                </w:tcPr>
                <w:p>
                  <w:pPr>
                    <w:jc w:val="center"/>
                  </w:pPr>
                  <w:r>
                    <w:rPr>
                      <w:b/>
                      <w:color w:val="000000"/>
                      <w:sz w:val="24"/>
                    </w:rPr>
                    <w:t>序号</w:t>
                  </w:r>
                </w:p>
              </w:tc>
              <w:tc>
                <w:tcPr>
                  <w:tcW w:type="dxa" w:w="751"/>
                  <w:tcBorders>
                    <w:top w:val="single" w:color="000000" w:sz="4"/>
                    <w:left w:val="none" w:color="000000" w:sz="4"/>
                    <w:bottom w:val="single" w:color="000000" w:sz="4"/>
                    <w:right w:val="single" w:color="000000" w:sz="4"/>
                  </w:tcBorders>
                </w:tcPr>
                <w:p>
                  <w:pPr>
                    <w:jc w:val="center"/>
                  </w:pPr>
                  <w:r>
                    <w:rPr>
                      <w:b/>
                      <w:color w:val="000000"/>
                      <w:sz w:val="24"/>
                    </w:rPr>
                    <w:t>设备名称</w:t>
                  </w:r>
                </w:p>
              </w:tc>
              <w:tc>
                <w:tcPr>
                  <w:tcW w:type="dxa" w:w="3242"/>
                  <w:tcBorders>
                    <w:top w:val="single" w:color="000000" w:sz="4"/>
                    <w:left w:val="none" w:color="000000" w:sz="4"/>
                    <w:bottom w:val="single" w:color="000000" w:sz="4"/>
                    <w:right w:val="single" w:color="000000" w:sz="4"/>
                  </w:tcBorders>
                </w:tcPr>
                <w:p>
                  <w:pPr>
                    <w:jc w:val="center"/>
                  </w:pPr>
                  <w:r>
                    <w:rPr>
                      <w:b/>
                      <w:color w:val="000000"/>
                      <w:sz w:val="24"/>
                    </w:rPr>
                    <w:t>技术参数</w:t>
                  </w:r>
                </w:p>
              </w:tc>
              <w:tc>
                <w:tcPr>
                  <w:tcW w:type="dxa" w:w="406"/>
                  <w:tcBorders>
                    <w:top w:val="single" w:color="000000" w:sz="4"/>
                    <w:left w:val="none" w:color="000000" w:sz="4"/>
                    <w:bottom w:val="single" w:color="000000" w:sz="4"/>
                    <w:right w:val="single" w:color="000000" w:sz="4"/>
                  </w:tcBorders>
                </w:tcPr>
                <w:p>
                  <w:pPr>
                    <w:jc w:val="center"/>
                  </w:pPr>
                  <w:r>
                    <w:rPr>
                      <w:b/>
                      <w:color w:val="000000"/>
                      <w:sz w:val="24"/>
                    </w:rPr>
                    <w:t>单位</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数量</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备注</w:t>
                  </w:r>
                </w:p>
              </w:tc>
            </w:tr>
            <w:tr>
              <w:tc>
                <w:tcPr>
                  <w:tcW w:type="dxa" w:w="5596"/>
                  <w:gridSpan w:val="6"/>
                  <w:tcBorders>
                    <w:top w:val="none" w:color="000000" w:sz="4"/>
                    <w:left w:val="single" w:color="000000" w:sz="4"/>
                    <w:bottom w:val="single" w:color="000000" w:sz="4"/>
                    <w:right w:val="single" w:color="000000" w:sz="4"/>
                  </w:tcBorders>
                </w:tcPr>
                <w:p>
                  <w:pPr>
                    <w:jc w:val="left"/>
                  </w:pPr>
                  <w:r>
                    <w:rPr>
                      <w:b/>
                      <w:color w:val="000000"/>
                      <w:sz w:val="24"/>
                    </w:rPr>
                    <w:t>1.</w:t>
                  </w:r>
                  <w:r>
                    <w:rPr>
                      <w:b/>
                      <w:color w:val="000000"/>
                      <w:sz w:val="24"/>
                    </w:rPr>
                    <w:t>道路车辆智能监测部分（卡口）</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3</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多合一补光灯</w:t>
                  </w:r>
                </w:p>
              </w:tc>
              <w:tc>
                <w:tcPr>
                  <w:tcW w:type="dxa" w:w="3242"/>
                  <w:tcBorders>
                    <w:top w:val="none" w:color="000000" w:sz="4"/>
                    <w:left w:val="none" w:color="000000" w:sz="4"/>
                    <w:bottom w:val="single" w:color="000000" w:sz="4"/>
                    <w:right w:val="single" w:color="000000" w:sz="4"/>
                  </w:tcBorders>
                </w:tcPr>
                <w:p>
                  <w:pPr>
                    <w:jc w:val="left"/>
                  </w:pPr>
                  <w:r>
                    <w:rPr>
                      <w:b/>
                      <w:color w:val="000000"/>
                      <w:sz w:val="24"/>
                    </w:rPr>
                    <w:t>9</w:t>
                  </w:r>
                  <w:r>
                    <w:rPr>
                      <w:b/>
                      <w:color w:val="000000"/>
                      <w:sz w:val="24"/>
                    </w:rPr>
                    <w:t>、▲支持在AC220V±44V、50Hz±2Hz的电源条件下，补光装置应能正常工作，基准轴上光照度的变化幅度应小于等于额定电压下的15%；（提供公安部权威检测机构出具的检测报告原复印件，并加盖原厂商公章或投标专用章）</w:t>
                  </w:r>
                  <w:r>
                    <w:br/>
                  </w:r>
                  <w:r>
                    <w:rPr>
                      <w:b/>
                      <w:color w:val="000000"/>
                      <w:sz w:val="24"/>
                    </w:rPr>
                    <w:t>10、▲支持在LED频闪开启时，气体放电红外叶片自动切换成红外模式；支持在红外模式下气体放电爆闪时，LED爆闪同步闪光；（提供公安部权威检测机构出具的检测报告复印件，并加盖原厂商公章或投标专用章）</w:t>
                  </w:r>
                  <w:r>
                    <w:br/>
                  </w:r>
                  <w:r>
                    <w:rPr>
                      <w:b/>
                      <w:color w:val="000000"/>
                      <w:sz w:val="24"/>
                    </w:rPr>
                    <w:t>11、▲支持LED频闪熄灭时，叶片自动切换成白光模式；支持在白光模式下触发氙气爆闪时，LED爆闪不闪光；（提供公安部权威检测机构出具的检测报告复印件，并加盖原厂商公章或投标专用章）</w:t>
                  </w:r>
                  <w:r>
                    <w:br/>
                  </w:r>
                  <w:r>
                    <w:rPr/>
                    <w:t xml:space="preserve"> </w:t>
                  </w:r>
                </w:p>
              </w:tc>
              <w:tc>
                <w:tcPr>
                  <w:tcW w:type="dxa" w:w="406"/>
                  <w:tcBorders>
                    <w:top w:val="none" w:color="000000" w:sz="4"/>
                    <w:left w:val="none" w:color="000000" w:sz="4"/>
                    <w:bottom w:val="single" w:color="000000" w:sz="4"/>
                    <w:right w:val="single" w:color="000000" w:sz="4"/>
                  </w:tcBorders>
                </w:tcPr>
                <w:p>
                  <w:r>
                    <w:rPr/>
                    <w:t xml:space="preserve"> </w:t>
                  </w:r>
                </w:p>
              </w:tc>
              <w:tc>
                <w:tcPr>
                  <w:tcW w:type="dxa" w:w="399"/>
                  <w:tcBorders>
                    <w:top w:val="none" w:color="000000" w:sz="4"/>
                    <w:left w:val="none" w:color="000000" w:sz="4"/>
                    <w:bottom w:val="single" w:color="000000" w:sz="4"/>
                    <w:right w:val="single" w:color="000000" w:sz="4"/>
                  </w:tcBorders>
                </w:tcPr>
                <w:p>
                  <w:r>
                    <w:rPr/>
                    <w:t xml:space="preserve"> </w:t>
                  </w:r>
                </w:p>
              </w:tc>
              <w:tc>
                <w:tcPr>
                  <w:tcW w:type="dxa" w:w="399"/>
                  <w:tcBorders>
                    <w:top w:val="none" w:color="000000" w:sz="4"/>
                    <w:left w:val="none" w:color="000000" w:sz="4"/>
                    <w:bottom w:val="single" w:color="000000" w:sz="4"/>
                    <w:right w:val="single" w:color="000000" w:sz="4"/>
                  </w:tcBorders>
                </w:tcPr>
                <w:p>
                  <w:r>
                    <w:rPr/>
                    <w:t xml:space="preserve"> </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球机监控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399"/>
              <w:gridCol w:w="751"/>
              <w:gridCol w:w="3242"/>
              <w:gridCol w:w="406"/>
              <w:gridCol w:w="399"/>
              <w:gridCol w:w="399"/>
            </w:tblGrid>
            <w:tr>
              <w:tc>
                <w:tcPr>
                  <w:tcW w:type="dxa" w:w="399"/>
                  <w:tcBorders>
                    <w:top w:val="single" w:color="000000" w:sz="4"/>
                    <w:left w:val="single" w:color="000000" w:sz="4"/>
                    <w:bottom w:val="single" w:color="000000" w:sz="4"/>
                    <w:right w:val="single" w:color="000000" w:sz="4"/>
                  </w:tcBorders>
                </w:tcPr>
                <w:p>
                  <w:pPr>
                    <w:jc w:val="center"/>
                  </w:pPr>
                  <w:r>
                    <w:rPr>
                      <w:b/>
                      <w:color w:val="000000"/>
                      <w:sz w:val="24"/>
                    </w:rPr>
                    <w:t>序号</w:t>
                  </w:r>
                </w:p>
              </w:tc>
              <w:tc>
                <w:tcPr>
                  <w:tcW w:type="dxa" w:w="751"/>
                  <w:tcBorders>
                    <w:top w:val="single" w:color="000000" w:sz="4"/>
                    <w:left w:val="none" w:color="000000" w:sz="4"/>
                    <w:bottom w:val="single" w:color="000000" w:sz="4"/>
                    <w:right w:val="single" w:color="000000" w:sz="4"/>
                  </w:tcBorders>
                </w:tcPr>
                <w:p>
                  <w:pPr>
                    <w:jc w:val="center"/>
                  </w:pPr>
                  <w:r>
                    <w:rPr>
                      <w:b/>
                      <w:color w:val="000000"/>
                      <w:sz w:val="24"/>
                    </w:rPr>
                    <w:t>设备名称</w:t>
                  </w:r>
                </w:p>
              </w:tc>
              <w:tc>
                <w:tcPr>
                  <w:tcW w:type="dxa" w:w="3242"/>
                  <w:tcBorders>
                    <w:top w:val="single" w:color="000000" w:sz="4"/>
                    <w:left w:val="none" w:color="000000" w:sz="4"/>
                    <w:bottom w:val="single" w:color="000000" w:sz="4"/>
                    <w:right w:val="single" w:color="000000" w:sz="4"/>
                  </w:tcBorders>
                </w:tcPr>
                <w:p>
                  <w:pPr>
                    <w:jc w:val="center"/>
                  </w:pPr>
                  <w:r>
                    <w:rPr>
                      <w:b/>
                      <w:color w:val="000000"/>
                      <w:sz w:val="24"/>
                    </w:rPr>
                    <w:t>技术参数</w:t>
                  </w:r>
                </w:p>
              </w:tc>
              <w:tc>
                <w:tcPr>
                  <w:tcW w:type="dxa" w:w="406"/>
                  <w:tcBorders>
                    <w:top w:val="single" w:color="000000" w:sz="4"/>
                    <w:left w:val="none" w:color="000000" w:sz="4"/>
                    <w:bottom w:val="single" w:color="000000" w:sz="4"/>
                    <w:right w:val="single" w:color="000000" w:sz="4"/>
                  </w:tcBorders>
                </w:tcPr>
                <w:p>
                  <w:pPr>
                    <w:jc w:val="center"/>
                  </w:pPr>
                  <w:r>
                    <w:rPr>
                      <w:b/>
                      <w:color w:val="000000"/>
                      <w:sz w:val="24"/>
                    </w:rPr>
                    <w:t>单位</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数量</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备注</w:t>
                  </w:r>
                </w:p>
              </w:tc>
            </w:tr>
            <w:tr>
              <w:tc>
                <w:tcPr>
                  <w:tcW w:type="dxa" w:w="5596"/>
                  <w:gridSpan w:val="6"/>
                  <w:tcBorders>
                    <w:top w:val="none" w:color="000000" w:sz="4"/>
                    <w:left w:val="single" w:color="000000" w:sz="4"/>
                    <w:bottom w:val="single" w:color="000000" w:sz="4"/>
                    <w:right w:val="single" w:color="000000" w:sz="4"/>
                  </w:tcBorders>
                </w:tcPr>
                <w:p>
                  <w:pPr>
                    <w:jc w:val="left"/>
                  </w:pPr>
                  <w:r>
                    <w:rPr>
                      <w:b/>
                      <w:color w:val="000000"/>
                      <w:sz w:val="24"/>
                    </w:rPr>
                    <w:t>3.</w:t>
                  </w:r>
                  <w:r>
                    <w:rPr>
                      <w:b/>
                      <w:color w:val="000000"/>
                      <w:sz w:val="24"/>
                    </w:rPr>
                    <w:t>视频监控部分</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球机监控</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分辨率≥1920×1080@30fps；星光级超低照度不高于:0.0004Lux/F1.5(彩色),0.0001Lux/F1.5(黑白) ,0 Lux with IR；不低于200米红外照射距离；焦距≥4.8-120mm，25倍或以上光学；内置GPU芯片</w:t>
                  </w:r>
                  <w:r>
                    <w:br/>
                  </w:r>
                  <w:r>
                    <w:rPr>
                      <w:color w:val="000000"/>
                      <w:sz w:val="24"/>
                    </w:rPr>
                    <w:t>须具备双路视频融合功能。同一镜头内具有≥2个Sensor传感器，一个Sensor传感器采集黑白信息，一个Sensor传感器采集色彩信息，球机对采集后的视频信息进行融合。</w:t>
                  </w:r>
                  <w:r>
                    <w:br/>
                  </w:r>
                  <w:r>
                    <w:rPr>
                      <w:color w:val="000000"/>
                      <w:sz w:val="24"/>
                    </w:rPr>
                    <w:t>红外距离不小于550米</w:t>
                  </w:r>
                  <w:r>
                    <w:br/>
                  </w:r>
                  <w:r>
                    <w:rPr>
                      <w:color w:val="000000"/>
                      <w:sz w:val="24"/>
                    </w:rPr>
                    <w:t>支持同时输出不少于2路分辨率1920×1080高清图像</w:t>
                  </w:r>
                  <w:r>
                    <w:br/>
                  </w:r>
                  <w:r>
                    <w:rPr>
                      <w:color w:val="000000"/>
                      <w:sz w:val="24"/>
                    </w:rPr>
                    <w:t>支持最低照度可达彩色0.0002Lux，黑白0.0001Lux；</w:t>
                  </w:r>
                  <w:r>
                    <w:br/>
                  </w:r>
                  <w:r>
                    <w:rPr>
                      <w:color w:val="000000"/>
                      <w:sz w:val="24"/>
                    </w:rPr>
                    <w:t>照度适应范围不小于145dB，宽动态能力综合得分不小于139，信噪比不小于64dB；</w:t>
                  </w:r>
                  <w:r>
                    <w:br/>
                  </w:r>
                  <w:r>
                    <w:rPr>
                      <w:color w:val="000000"/>
                      <w:sz w:val="24"/>
                    </w:rPr>
                    <w:t>支持水平手控速度不小于800°/S,垂直手控速度不小于300°/s。水平旋转范围为360°连续旋转，垂直旋转范围为-20°~90°；</w:t>
                  </w:r>
                  <w:r>
                    <w:br/>
                  </w:r>
                  <w:r>
                    <w:rPr>
                      <w:color w:val="000000"/>
                      <w:sz w:val="24"/>
                    </w:rPr>
                    <w:t>支持300个预置位，可按照所设置的预置位完成不小于8条巡航路径，每条巡航路径可设置不小于32个预置点。支持预置位视频冻结功能；支持优先控制功能。设备运动结束静止时，其水平和垂直角度方向受到外力作用发生偏移时，能够检测角度改变并产生报警信息，报警信息可在OSD上叠加。</w:t>
                  </w:r>
                  <w:r>
                    <w:br/>
                  </w:r>
                  <w:r>
                    <w:rPr>
                      <w:color w:val="000000"/>
                      <w:sz w:val="24"/>
                    </w:rPr>
                    <w:t>设备具备偏移自动校正功能。设备运动结束静止时，其水平和垂直角度方向受到外力作用发生偏移时，设备可进行偏移自动校正，校正后与原位置偏差角度应不大于0.05°；</w:t>
                  </w:r>
                  <w:r>
                    <w:br/>
                  </w:r>
                  <w:r>
                    <w:rPr>
                      <w:color w:val="000000"/>
                      <w:sz w:val="24"/>
                    </w:rPr>
                    <w:t>支持快速聚焦功能，当设备跟踪行人或机动车等移动目标并录像时，单帧回放录像文件，每1帧画面均应清晰可见；</w:t>
                  </w:r>
                  <w:r>
                    <w:br/>
                  </w:r>
                  <w:r>
                    <w:rPr>
                      <w:color w:val="000000"/>
                      <w:sz w:val="24"/>
                    </w:rPr>
                    <w:t>网络传输能力满足设备与客户端之间用350m五类非屏蔽网线直接连接，发送3000个数据包，重复三次，无丢包；</w:t>
                  </w:r>
                  <w:r>
                    <w:br/>
                  </w:r>
                  <w:r>
                    <w:rPr>
                      <w:color w:val="000000"/>
                      <w:sz w:val="24"/>
                    </w:rPr>
                    <w:t>具备较强的网络自适应能力，在丢包率为32%的网络环境下，可正常显示监视画面。</w:t>
                  </w:r>
                  <w:r>
                    <w:br/>
                  </w:r>
                  <w:r>
                    <w:rPr>
                      <w:color w:val="000000"/>
                      <w:sz w:val="24"/>
                    </w:rPr>
                    <w:t>支持采用H.264、MJPEG、H.265视频编码标准；支持smart265功能。</w:t>
                  </w:r>
                  <w:r>
                    <w:br/>
                  </w:r>
                  <w:r>
                    <w:rPr>
                      <w:color w:val="000000"/>
                      <w:sz w:val="24"/>
                    </w:rPr>
                    <w:t>支持7路报警输入接口，2路报警输出接口，支持1路音频输入和输出接口。有SD卡槽，最大支持256GB的SD卡。</w:t>
                  </w:r>
                  <w:r>
                    <w:br/>
                  </w:r>
                  <w:r>
                    <w:rPr>
                      <w:color w:val="000000"/>
                      <w:sz w:val="24"/>
                    </w:rPr>
                    <w:t>可识别不低于170种车辆品牌，车辆品牌识别白天准确率大于98%，晚上准确率大于97%。</w:t>
                  </w:r>
                  <w:r>
                    <w:br/>
                  </w:r>
                  <w:r>
                    <w:rPr>
                      <w:color w:val="000000"/>
                      <w:sz w:val="24"/>
                    </w:rPr>
                    <w:t>可识别不低于3600种车辆子品牌，车辆子品牌识别白天准确率大于96%，晚上准确率大于93%；</w:t>
                  </w:r>
                  <w:r>
                    <w:br/>
                  </w:r>
                  <w:r>
                    <w:rPr>
                      <w:color w:val="000000"/>
                      <w:sz w:val="24"/>
                    </w:rPr>
                    <w:t>可识别11种车辆颜色，车辆车身颜色识别准确率大于97%；</w:t>
                  </w:r>
                  <w:r>
                    <w:br/>
                  </w:r>
                  <w:r>
                    <w:rPr>
                      <w:color w:val="000000"/>
                      <w:sz w:val="24"/>
                    </w:rPr>
                    <w:t>可识别10种车型，包括轿车、小型轿车、微型轿车、客车、中型客车、面包车、大货车、小货车、SUV-MPV、皮卡。车型识别白天准确率大于98%，晚上准确率大于97%；</w:t>
                  </w:r>
                  <w:r>
                    <w:br/>
                  </w:r>
                  <w:r>
                    <w:rPr>
                      <w:color w:val="000000"/>
                      <w:sz w:val="24"/>
                    </w:rPr>
                    <w:t>支持区域入侵、越界入侵、徘徊、物品遗留、物品移除、人员聚集、快速移动、进入区域、离开区域等行为分析功能；人脸检测功能；音频异常侦测功能</w:t>
                  </w:r>
                  <w:r>
                    <w:br/>
                  </w:r>
                  <w:r>
                    <w:rPr>
                      <w:color w:val="000000"/>
                      <w:sz w:val="24"/>
                    </w:rPr>
                    <w:t>室外球机应具备较好防护性能，支持IP67；具备较好的电磁兼容性，支持空气放电20KV，接触放电10KV，15KV防浪涌；</w:t>
                  </w:r>
                  <w:r>
                    <w:br/>
                  </w:r>
                  <w:r>
                    <w:rPr>
                      <w:color w:val="000000"/>
                      <w:sz w:val="24"/>
                    </w:rPr>
                    <w:t>具备较好的电源适应性，电压在AC24V±47%或DC24V±47%范围内变化时，设备可正常工作；</w:t>
                  </w:r>
                  <w:r>
                    <w:br/>
                  </w:r>
                  <w:r>
                    <w:rPr>
                      <w:color w:val="000000"/>
                      <w:sz w:val="24"/>
                    </w:rPr>
                    <w:t>具备较好的环境适应性，工作温度范围可达-45℃到70℃。</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24</w:t>
                  </w:r>
                </w:p>
              </w:tc>
              <w:tc>
                <w:tcPr>
                  <w:tcW w:type="dxa" w:w="399"/>
                  <w:tcBorders>
                    <w:top w:val="none" w:color="000000" w:sz="4"/>
                    <w:left w:val="none" w:color="000000" w:sz="4"/>
                    <w:bottom w:val="single" w:color="000000" w:sz="4"/>
                    <w:right w:val="single" w:color="000000" w:sz="4"/>
                  </w:tcBorders>
                </w:tcPr>
                <w:p>
                  <w:pPr>
                    <w:jc w:val="left"/>
                  </w:pPr>
                  <w:r>
                    <w:rPr>
                      <w:color w:val="000000"/>
                      <w:sz w:val="24"/>
                    </w:rPr>
                    <w:t>核心产品</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LCD拼接屏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399"/>
              <w:gridCol w:w="751"/>
              <w:gridCol w:w="3242"/>
              <w:gridCol w:w="406"/>
              <w:gridCol w:w="399"/>
              <w:gridCol w:w="399"/>
            </w:tblGrid>
            <w:tr>
              <w:tc>
                <w:tcPr>
                  <w:tcW w:type="dxa" w:w="399"/>
                  <w:tcBorders>
                    <w:top w:val="single" w:color="000000" w:sz="4"/>
                    <w:left w:val="single" w:color="000000" w:sz="4"/>
                    <w:bottom w:val="single" w:color="000000" w:sz="4"/>
                    <w:right w:val="single" w:color="000000" w:sz="4"/>
                  </w:tcBorders>
                </w:tcPr>
                <w:p>
                  <w:pPr>
                    <w:jc w:val="center"/>
                  </w:pPr>
                  <w:r>
                    <w:rPr>
                      <w:b/>
                      <w:color w:val="000000"/>
                      <w:sz w:val="24"/>
                    </w:rPr>
                    <w:t>序号</w:t>
                  </w:r>
                </w:p>
              </w:tc>
              <w:tc>
                <w:tcPr>
                  <w:tcW w:type="dxa" w:w="751"/>
                  <w:tcBorders>
                    <w:top w:val="single" w:color="000000" w:sz="4"/>
                    <w:left w:val="none" w:color="000000" w:sz="4"/>
                    <w:bottom w:val="single" w:color="000000" w:sz="4"/>
                    <w:right w:val="single" w:color="000000" w:sz="4"/>
                  </w:tcBorders>
                </w:tcPr>
                <w:p>
                  <w:pPr>
                    <w:jc w:val="center"/>
                  </w:pPr>
                  <w:r>
                    <w:rPr>
                      <w:b/>
                      <w:color w:val="000000"/>
                      <w:sz w:val="24"/>
                    </w:rPr>
                    <w:t>设备名称</w:t>
                  </w:r>
                </w:p>
              </w:tc>
              <w:tc>
                <w:tcPr>
                  <w:tcW w:type="dxa" w:w="3242"/>
                  <w:tcBorders>
                    <w:top w:val="single" w:color="000000" w:sz="4"/>
                    <w:left w:val="none" w:color="000000" w:sz="4"/>
                    <w:bottom w:val="single" w:color="000000" w:sz="4"/>
                    <w:right w:val="single" w:color="000000" w:sz="4"/>
                  </w:tcBorders>
                </w:tcPr>
                <w:p>
                  <w:pPr>
                    <w:jc w:val="center"/>
                  </w:pPr>
                  <w:r>
                    <w:rPr>
                      <w:b/>
                      <w:color w:val="000000"/>
                      <w:sz w:val="24"/>
                    </w:rPr>
                    <w:t>技术参数</w:t>
                  </w:r>
                </w:p>
              </w:tc>
              <w:tc>
                <w:tcPr>
                  <w:tcW w:type="dxa" w:w="406"/>
                  <w:tcBorders>
                    <w:top w:val="single" w:color="000000" w:sz="4"/>
                    <w:left w:val="none" w:color="000000" w:sz="4"/>
                    <w:bottom w:val="single" w:color="000000" w:sz="4"/>
                    <w:right w:val="single" w:color="000000" w:sz="4"/>
                  </w:tcBorders>
                </w:tcPr>
                <w:p>
                  <w:pPr>
                    <w:jc w:val="center"/>
                  </w:pPr>
                  <w:r>
                    <w:rPr>
                      <w:b/>
                      <w:color w:val="000000"/>
                      <w:sz w:val="24"/>
                    </w:rPr>
                    <w:t>单位</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数量</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备注</w:t>
                  </w:r>
                </w:p>
              </w:tc>
            </w:tr>
            <w:tr>
              <w:tc>
                <w:tcPr>
                  <w:tcW w:type="dxa" w:w="5596"/>
                  <w:gridSpan w:val="6"/>
                  <w:tcBorders>
                    <w:top w:val="none" w:color="000000" w:sz="4"/>
                    <w:left w:val="single" w:color="000000" w:sz="4"/>
                    <w:bottom w:val="single" w:color="000000" w:sz="4"/>
                    <w:right w:val="single" w:color="000000" w:sz="4"/>
                  </w:tcBorders>
                </w:tcPr>
                <w:p>
                  <w:pPr>
                    <w:jc w:val="left"/>
                  </w:pPr>
                  <w:r>
                    <w:rPr>
                      <w:b/>
                      <w:color w:val="000000"/>
                      <w:sz w:val="24"/>
                    </w:rPr>
                    <w:t>5</w:t>
                  </w:r>
                  <w:r>
                    <w:rPr>
                      <w:b/>
                      <w:color w:val="000000"/>
                      <w:sz w:val="24"/>
                    </w:rPr>
                    <w:t>、中队指挥室及执法站岗亭</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LCD</w:t>
                  </w:r>
                  <w:r>
                    <w:rPr>
                      <w:color w:val="000000"/>
                      <w:sz w:val="24"/>
                    </w:rPr>
                    <w:t>拼接屏</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1</w:t>
                  </w:r>
                  <w:r>
                    <w:rPr>
                      <w:color w:val="000000"/>
                      <w:sz w:val="24"/>
                    </w:rPr>
                    <w:t>、LCD液晶显示单元；</w:t>
                  </w:r>
                  <w:r>
                    <w:br/>
                  </w:r>
                  <w:r>
                    <w:rPr>
                      <w:color w:val="000000"/>
                      <w:sz w:val="24"/>
                    </w:rPr>
                    <w:t>2、尺寸:46英寸；拼缝≤ 3.5mm；</w:t>
                  </w:r>
                  <w:r>
                    <w:br/>
                  </w:r>
                  <w:r>
                    <w:rPr>
                      <w:color w:val="000000"/>
                      <w:sz w:val="24"/>
                    </w:rPr>
                    <w:t>3、分辨率≥1920 × 1080@60 Hz（向下兼容）；</w:t>
                  </w:r>
                  <w:r>
                    <w:br/>
                  </w:r>
                  <w:r>
                    <w:rPr>
                      <w:color w:val="000000"/>
                      <w:sz w:val="24"/>
                    </w:rPr>
                    <w:t>4、视角：垂直上下≥178°,水平左右≥178°(CR≥10)；</w:t>
                  </w:r>
                  <w:r>
                    <w:br/>
                  </w:r>
                  <w:r>
                    <w:rPr>
                      <w:color w:val="000000"/>
                      <w:sz w:val="24"/>
                    </w:rPr>
                    <w:t>5、响应时间≤ 8ms(G to G)；</w:t>
                  </w:r>
                  <w:r>
                    <w:br/>
                  </w:r>
                  <w:r>
                    <w:rPr>
                      <w:color w:val="000000"/>
                      <w:sz w:val="24"/>
                    </w:rPr>
                    <w:t>6、对比度≥1200:1；</w:t>
                  </w:r>
                  <w:r>
                    <w:br/>
                  </w:r>
                  <w:r>
                    <w:rPr>
                      <w:color w:val="000000"/>
                      <w:sz w:val="24"/>
                    </w:rPr>
                    <w:t>7、亮度≥500cd/㎡；</w:t>
                  </w:r>
                  <w:r>
                    <w:br/>
                  </w:r>
                  <w:r>
                    <w:rPr>
                      <w:color w:val="000000"/>
                      <w:sz w:val="24"/>
                    </w:rPr>
                    <w:t>8、输入接口：HDMI × 1, DVI × 1, VGA × 1, CVBS × 1, USB × 1；</w:t>
                  </w:r>
                  <w:r>
                    <w:br/>
                  </w:r>
                  <w:r>
                    <w:rPr>
                      <w:color w:val="000000"/>
                      <w:sz w:val="24"/>
                    </w:rPr>
                    <w:t>9、输出接口：HDMI × 1, VGA × 1, CVBS × 1；</w:t>
                  </w:r>
                  <w:r>
                    <w:br/>
                  </w:r>
                  <w:r>
                    <w:rPr>
                      <w:color w:val="000000"/>
                      <w:sz w:val="24"/>
                    </w:rPr>
                    <w:t>10、功耗：≤ 160 W；</w:t>
                  </w:r>
                  <w:r>
                    <w:br/>
                  </w:r>
                  <w:r>
                    <w:rPr>
                      <w:color w:val="000000"/>
                      <w:sz w:val="24"/>
                    </w:rPr>
                    <w:t>11、电源要求：100～240 VAC, 50/60 Hz；</w:t>
                  </w:r>
                  <w:r>
                    <w:br/>
                  </w:r>
                  <w:r>
                    <w:rPr>
                      <w:color w:val="000000"/>
                      <w:sz w:val="24"/>
                    </w:rPr>
                    <w:t>12、寿命：≥60000 小时；</w:t>
                  </w:r>
                  <w:r>
                    <w:br/>
                  </w:r>
                  <w:r>
                    <w:rPr>
                      <w:color w:val="000000"/>
                      <w:sz w:val="24"/>
                    </w:rPr>
                    <w:t>13、运行温度和湿度： 0℃～40℃，10%～80% RH（无冷凝水）；</w:t>
                  </w:r>
                  <w:r>
                    <w:br/>
                  </w:r>
                  <w:r>
                    <w:rPr>
                      <w:color w:val="000000"/>
                      <w:sz w:val="24"/>
                    </w:rPr>
                    <w:t>14、边框宽度≤2.3mm（左/上），1.2mm（右/下）；</w:t>
                  </w:r>
                  <w:r>
                    <w:br/>
                  </w:r>
                  <w:r>
                    <w:rPr>
                      <w:color w:val="000000"/>
                      <w:sz w:val="24"/>
                    </w:rPr>
                    <w:t>15、外形尺寸≤1022.23 (W) mm × 576.77 (H) mm × 72.25 (D) mm；</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36</w:t>
                  </w:r>
                </w:p>
              </w:tc>
              <w:tc>
                <w:tcPr>
                  <w:tcW w:type="dxa" w:w="399"/>
                  <w:tcBorders>
                    <w:top w:val="none" w:color="000000" w:sz="4"/>
                    <w:left w:val="none" w:color="000000" w:sz="4"/>
                    <w:bottom w:val="single" w:color="000000" w:sz="4"/>
                    <w:right w:val="single" w:color="000000" w:sz="4"/>
                  </w:tcBorders>
                </w:tcPr>
                <w:p>
                  <w:pPr>
                    <w:jc w:val="left"/>
                  </w:pPr>
                  <w:r>
                    <w:rPr>
                      <w:color w:val="000000"/>
                      <w:sz w:val="24"/>
                    </w:rPr>
                    <w:t>核心产品</w:t>
                  </w:r>
                </w:p>
              </w:tc>
            </w:tr>
          </w:tbl>
        </w:tc>
      </w:tr>
      <w:tr>
        <w:tc>
          <w:tcPr>
            <w:tcW w:type="dxa" w:w="2076"/>
          </w:tcPr>
          <w:p>
            <w:r>
              <w:rPr/>
              <w:t>▲</w:t>
            </w:r>
          </w:p>
        </w:tc>
        <w:tc>
          <w:tcPr>
            <w:tcW w:type="dxa" w:w="415"/>
          </w:tcPr>
          <w:p>
            <w:r>
              <w:rPr/>
              <w:t>2</w:t>
            </w:r>
          </w:p>
        </w:tc>
        <w:tc>
          <w:tcPr>
            <w:tcW w:type="dxa" w:w="5814"/>
          </w:tcPr>
          <w:p/>
          <w:tbl>
            <w:tblGrid>
              <w:gridCol w:w="399"/>
              <w:gridCol w:w="751"/>
              <w:gridCol w:w="3242"/>
              <w:gridCol w:w="406"/>
              <w:gridCol w:w="399"/>
              <w:gridCol w:w="399"/>
            </w:tblGrid>
            <w:tr>
              <w:tc>
                <w:tcPr>
                  <w:tcW w:type="dxa" w:w="399"/>
                  <w:tcBorders>
                    <w:top w:val="single" w:color="000000" w:sz="4"/>
                    <w:left w:val="single" w:color="000000" w:sz="4"/>
                    <w:bottom w:val="single" w:color="000000" w:sz="4"/>
                    <w:right w:val="single" w:color="000000" w:sz="4"/>
                  </w:tcBorders>
                </w:tcPr>
                <w:p>
                  <w:pPr>
                    <w:jc w:val="center"/>
                  </w:pPr>
                  <w:r>
                    <w:rPr>
                      <w:b/>
                      <w:color w:val="000000"/>
                      <w:sz w:val="24"/>
                    </w:rPr>
                    <w:t>序号</w:t>
                  </w:r>
                </w:p>
              </w:tc>
              <w:tc>
                <w:tcPr>
                  <w:tcW w:type="dxa" w:w="751"/>
                  <w:tcBorders>
                    <w:top w:val="single" w:color="000000" w:sz="4"/>
                    <w:left w:val="none" w:color="000000" w:sz="4"/>
                    <w:bottom w:val="single" w:color="000000" w:sz="4"/>
                    <w:right w:val="single" w:color="000000" w:sz="4"/>
                  </w:tcBorders>
                </w:tcPr>
                <w:p>
                  <w:pPr>
                    <w:jc w:val="center"/>
                  </w:pPr>
                  <w:r>
                    <w:rPr>
                      <w:b/>
                      <w:color w:val="000000"/>
                      <w:sz w:val="24"/>
                    </w:rPr>
                    <w:t>设备名称</w:t>
                  </w:r>
                </w:p>
              </w:tc>
              <w:tc>
                <w:tcPr>
                  <w:tcW w:type="dxa" w:w="3242"/>
                  <w:tcBorders>
                    <w:top w:val="single" w:color="000000" w:sz="4"/>
                    <w:left w:val="none" w:color="000000" w:sz="4"/>
                    <w:bottom w:val="single" w:color="000000" w:sz="4"/>
                    <w:right w:val="single" w:color="000000" w:sz="4"/>
                  </w:tcBorders>
                </w:tcPr>
                <w:p>
                  <w:pPr>
                    <w:jc w:val="center"/>
                  </w:pPr>
                  <w:r>
                    <w:rPr>
                      <w:b/>
                      <w:color w:val="000000"/>
                      <w:sz w:val="24"/>
                    </w:rPr>
                    <w:t>技术参数</w:t>
                  </w:r>
                </w:p>
              </w:tc>
              <w:tc>
                <w:tcPr>
                  <w:tcW w:type="dxa" w:w="406"/>
                  <w:tcBorders>
                    <w:top w:val="single" w:color="000000" w:sz="4"/>
                    <w:left w:val="none" w:color="000000" w:sz="4"/>
                    <w:bottom w:val="single" w:color="000000" w:sz="4"/>
                    <w:right w:val="single" w:color="000000" w:sz="4"/>
                  </w:tcBorders>
                </w:tcPr>
                <w:p>
                  <w:pPr>
                    <w:jc w:val="center"/>
                  </w:pPr>
                  <w:r>
                    <w:rPr>
                      <w:b/>
                      <w:color w:val="000000"/>
                      <w:sz w:val="24"/>
                    </w:rPr>
                    <w:t>单位</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数量</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备注</w:t>
                  </w:r>
                </w:p>
              </w:tc>
            </w:tr>
            <w:tr>
              <w:tc>
                <w:tcPr>
                  <w:tcW w:type="dxa" w:w="5596"/>
                  <w:gridSpan w:val="6"/>
                  <w:tcBorders>
                    <w:top w:val="none" w:color="000000" w:sz="4"/>
                    <w:left w:val="single" w:color="000000" w:sz="4"/>
                    <w:bottom w:val="single" w:color="000000" w:sz="4"/>
                    <w:right w:val="single" w:color="000000" w:sz="4"/>
                  </w:tcBorders>
                </w:tcPr>
                <w:p>
                  <w:pPr>
                    <w:jc w:val="left"/>
                  </w:pPr>
                  <w:r>
                    <w:rPr>
                      <w:b/>
                      <w:color w:val="000000"/>
                      <w:sz w:val="24"/>
                    </w:rPr>
                    <w:t>5</w:t>
                  </w:r>
                  <w:r>
                    <w:rPr>
                      <w:b/>
                      <w:color w:val="000000"/>
                      <w:sz w:val="24"/>
                    </w:rPr>
                    <w:t>、中队指挥室及执法站岗亭</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LCD</w:t>
                  </w:r>
                  <w:r>
                    <w:rPr>
                      <w:color w:val="000000"/>
                      <w:sz w:val="24"/>
                    </w:rPr>
                    <w:t>拼接屏</w:t>
                  </w:r>
                </w:p>
              </w:tc>
              <w:tc>
                <w:tcPr>
                  <w:tcW w:type="dxa" w:w="3242"/>
                  <w:tcBorders>
                    <w:top w:val="none" w:color="000000" w:sz="4"/>
                    <w:left w:val="none" w:color="000000" w:sz="4"/>
                    <w:bottom w:val="single" w:color="000000" w:sz="4"/>
                    <w:right w:val="single" w:color="000000" w:sz="4"/>
                  </w:tcBorders>
                  <w:vAlign w:val="top"/>
                </w:tcPr>
                <w:p>
                  <w:pPr>
                    <w:jc w:val="left"/>
                  </w:pPr>
                  <w:r>
                    <w:br/>
                  </w:r>
                  <w:r>
                    <w:rPr>
                      <w:b/>
                      <w:color w:val="000000"/>
                      <w:sz w:val="24"/>
                    </w:rPr>
                    <w:t>16</w:t>
                  </w:r>
                  <w:r>
                    <w:rPr>
                      <w:b/>
                      <w:color w:val="000000"/>
                      <w:sz w:val="24"/>
                    </w:rPr>
                    <w:t>、▲LCD显示单元边缘采用抗热材质，保证高温条件下拼缝效果（提供封面同时具备CMA、CNAS盖章的第三方检测机构出具的检测报告复印件并加盖厂商公章或投标专用章）；</w:t>
                  </w:r>
                  <w:r>
                    <w:br/>
                  </w:r>
                  <w:r>
                    <w:rPr>
                      <w:b/>
                      <w:color w:val="000000"/>
                      <w:sz w:val="24"/>
                    </w:rPr>
                    <w:t>17、▲液晶拼接单元光学拼缝符合SJ/T11710-2018液晶拼接系统验收规范标准工程检查要求（提供封面同时具备CMA、CNAS盖章的第三方检测机构出具的检测报告复印件并加盖厂商公章或投标专用章）；</w:t>
                  </w:r>
                  <w:r>
                    <w:br/>
                  </w:r>
                  <w:r>
                    <w:rPr>
                      <w:b/>
                      <w:color w:val="000000"/>
                      <w:sz w:val="24"/>
                    </w:rPr>
                    <w:t>18、▲液晶拼接单元光学性能（偏振度、透过率、色调）符合GB/T25275-2010规范要求（提供封面同时具备CMA、CNAS盖章的第三方检测机构出具的检测报告复印件并加盖厂商公章或投标专用章）；</w:t>
                  </w:r>
                </w:p>
              </w:tc>
              <w:tc>
                <w:tcPr>
                  <w:tcW w:type="dxa" w:w="406"/>
                  <w:tcBorders>
                    <w:top w:val="none" w:color="000000" w:sz="4"/>
                    <w:left w:val="none" w:color="000000" w:sz="4"/>
                    <w:bottom w:val="single" w:color="000000" w:sz="4"/>
                    <w:right w:val="single" w:color="000000" w:sz="4"/>
                  </w:tcBorders>
                </w:tcPr>
                <w:p>
                  <w:r>
                    <w:rPr/>
                    <w:t xml:space="preserve"> </w:t>
                  </w:r>
                </w:p>
              </w:tc>
              <w:tc>
                <w:tcPr>
                  <w:tcW w:type="dxa" w:w="399"/>
                  <w:tcBorders>
                    <w:top w:val="none" w:color="000000" w:sz="4"/>
                    <w:left w:val="none" w:color="000000" w:sz="4"/>
                    <w:bottom w:val="single" w:color="000000" w:sz="4"/>
                    <w:right w:val="single" w:color="000000" w:sz="4"/>
                  </w:tcBorders>
                </w:tcPr>
                <w:p>
                  <w:r>
                    <w:rPr/>
                    <w:t xml:space="preserve"> </w:t>
                  </w:r>
                </w:p>
              </w:tc>
              <w:tc>
                <w:tcPr>
                  <w:tcW w:type="dxa" w:w="399"/>
                  <w:tcBorders>
                    <w:top w:val="none" w:color="000000" w:sz="4"/>
                    <w:left w:val="none" w:color="000000" w:sz="4"/>
                    <w:bottom w:val="single" w:color="000000" w:sz="4"/>
                    <w:right w:val="single" w:color="000000" w:sz="4"/>
                  </w:tcBorders>
                </w:tcPr>
                <w:p>
                  <w:r>
                    <w:rPr/>
                    <w:t xml:space="preserve"> </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B21一体机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399"/>
              <w:gridCol w:w="751"/>
              <w:gridCol w:w="3242"/>
              <w:gridCol w:w="406"/>
              <w:gridCol w:w="399"/>
              <w:gridCol w:w="399"/>
            </w:tblGrid>
            <w:tr>
              <w:tc>
                <w:tcPr>
                  <w:tcW w:type="dxa" w:w="399"/>
                  <w:tcBorders>
                    <w:top w:val="single" w:color="000000" w:sz="4"/>
                    <w:left w:val="single" w:color="000000" w:sz="4"/>
                    <w:bottom w:val="single" w:color="000000" w:sz="4"/>
                    <w:right w:val="single" w:color="000000" w:sz="4"/>
                  </w:tcBorders>
                </w:tcPr>
                <w:p>
                  <w:pPr>
                    <w:jc w:val="center"/>
                  </w:pPr>
                  <w:r>
                    <w:rPr>
                      <w:b/>
                      <w:color w:val="000000"/>
                      <w:sz w:val="24"/>
                    </w:rPr>
                    <w:t>序号</w:t>
                  </w:r>
                </w:p>
              </w:tc>
              <w:tc>
                <w:tcPr>
                  <w:tcW w:type="dxa" w:w="751"/>
                  <w:tcBorders>
                    <w:top w:val="single" w:color="000000" w:sz="4"/>
                    <w:left w:val="none" w:color="000000" w:sz="4"/>
                    <w:bottom w:val="single" w:color="000000" w:sz="4"/>
                    <w:right w:val="single" w:color="000000" w:sz="4"/>
                  </w:tcBorders>
                </w:tcPr>
                <w:p>
                  <w:pPr>
                    <w:jc w:val="center"/>
                  </w:pPr>
                  <w:r>
                    <w:rPr>
                      <w:b/>
                      <w:color w:val="000000"/>
                      <w:sz w:val="24"/>
                    </w:rPr>
                    <w:t>设备名称</w:t>
                  </w:r>
                </w:p>
              </w:tc>
              <w:tc>
                <w:tcPr>
                  <w:tcW w:type="dxa" w:w="3242"/>
                  <w:tcBorders>
                    <w:top w:val="single" w:color="000000" w:sz="4"/>
                    <w:left w:val="none" w:color="000000" w:sz="4"/>
                    <w:bottom w:val="single" w:color="000000" w:sz="4"/>
                    <w:right w:val="single" w:color="000000" w:sz="4"/>
                  </w:tcBorders>
                </w:tcPr>
                <w:p>
                  <w:pPr>
                    <w:jc w:val="center"/>
                  </w:pPr>
                  <w:r>
                    <w:rPr>
                      <w:b/>
                      <w:color w:val="000000"/>
                      <w:sz w:val="24"/>
                    </w:rPr>
                    <w:t>技术参数</w:t>
                  </w:r>
                </w:p>
              </w:tc>
              <w:tc>
                <w:tcPr>
                  <w:tcW w:type="dxa" w:w="406"/>
                  <w:tcBorders>
                    <w:top w:val="single" w:color="000000" w:sz="4"/>
                    <w:left w:val="none" w:color="000000" w:sz="4"/>
                    <w:bottom w:val="single" w:color="000000" w:sz="4"/>
                    <w:right w:val="single" w:color="000000" w:sz="4"/>
                  </w:tcBorders>
                </w:tcPr>
                <w:p>
                  <w:pPr>
                    <w:jc w:val="center"/>
                  </w:pPr>
                  <w:r>
                    <w:rPr>
                      <w:b/>
                      <w:color w:val="000000"/>
                      <w:sz w:val="24"/>
                    </w:rPr>
                    <w:t>单位</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数量</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备注</w:t>
                  </w:r>
                </w:p>
              </w:tc>
            </w:tr>
            <w:tr>
              <w:tc>
                <w:tcPr>
                  <w:tcW w:type="dxa" w:w="5596"/>
                  <w:gridSpan w:val="6"/>
                  <w:tcBorders>
                    <w:top w:val="none" w:color="000000" w:sz="4"/>
                    <w:left w:val="single" w:color="000000" w:sz="4"/>
                    <w:bottom w:val="single" w:color="000000" w:sz="4"/>
                    <w:right w:val="single" w:color="000000" w:sz="4"/>
                  </w:tcBorders>
                </w:tcPr>
                <w:p>
                  <w:pPr>
                    <w:jc w:val="left"/>
                  </w:pPr>
                  <w:r>
                    <w:rPr>
                      <w:b/>
                      <w:color w:val="000000"/>
                      <w:sz w:val="24"/>
                    </w:rPr>
                    <w:t>5</w:t>
                  </w:r>
                  <w:r>
                    <w:rPr>
                      <w:b/>
                      <w:color w:val="000000"/>
                      <w:sz w:val="24"/>
                    </w:rPr>
                    <w:t>、中队指挥室及执法站岗亭</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4</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B21</w:t>
                  </w:r>
                  <w:r>
                    <w:rPr>
                      <w:color w:val="000000"/>
                      <w:sz w:val="24"/>
                    </w:rPr>
                    <w:t>一体机</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1</w:t>
                  </w:r>
                  <w:r>
                    <w:rPr>
                      <w:color w:val="000000"/>
                      <w:sz w:val="24"/>
                    </w:rPr>
                    <w:t>、5U机箱+4路DVI输入（支持转VGA或HDMI）+12路HDMI输出+单主控板+单电源；</w:t>
                  </w:r>
                  <w:r>
                    <w:br/>
                  </w:r>
                  <w:r>
                    <w:rPr>
                      <w:color w:val="000000"/>
                      <w:sz w:val="24"/>
                    </w:rPr>
                    <w:t>2、整机支持解码6路2400W@25fps、或12路1200W@25fps、或24路800W@25fps、或48路400W@25fps、或 96路200W@30fps，192路720P@30fps，或192路4CIF@30fps以下分辨率；</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color w:val="000000"/>
                      <w:sz w:val="24"/>
                    </w:rPr>
                    <w:t>核心产品</w:t>
                  </w:r>
                </w:p>
              </w:tc>
            </w:tr>
          </w:tbl>
        </w:tc>
      </w:tr>
      <w:tr>
        <w:tc>
          <w:tcPr>
            <w:tcW w:type="dxa" w:w="2076"/>
          </w:tcPr>
          <w:p>
            <w:r>
              <w:rPr/>
              <w:t>▲</w:t>
            </w:r>
          </w:p>
        </w:tc>
        <w:tc>
          <w:tcPr>
            <w:tcW w:type="dxa" w:w="415"/>
          </w:tcPr>
          <w:p>
            <w:r>
              <w:rPr/>
              <w:t>2</w:t>
            </w:r>
          </w:p>
        </w:tc>
        <w:tc>
          <w:tcPr>
            <w:tcW w:type="dxa" w:w="5814"/>
          </w:tcPr>
          <w:p/>
          <w:tbl>
            <w:tblGrid>
              <w:gridCol w:w="399"/>
              <w:gridCol w:w="751"/>
              <w:gridCol w:w="3242"/>
              <w:gridCol w:w="406"/>
              <w:gridCol w:w="399"/>
              <w:gridCol w:w="399"/>
            </w:tblGrid>
            <w:tr>
              <w:tc>
                <w:tcPr>
                  <w:tcW w:type="dxa" w:w="399"/>
                  <w:tcBorders>
                    <w:top w:val="single" w:color="000000" w:sz="4"/>
                    <w:left w:val="single" w:color="000000" w:sz="4"/>
                    <w:bottom w:val="single" w:color="000000" w:sz="4"/>
                    <w:right w:val="single" w:color="000000" w:sz="4"/>
                  </w:tcBorders>
                </w:tcPr>
                <w:p>
                  <w:pPr>
                    <w:jc w:val="center"/>
                  </w:pPr>
                  <w:r>
                    <w:rPr>
                      <w:b/>
                      <w:color w:val="000000"/>
                      <w:sz w:val="24"/>
                    </w:rPr>
                    <w:t>序号</w:t>
                  </w:r>
                </w:p>
              </w:tc>
              <w:tc>
                <w:tcPr>
                  <w:tcW w:type="dxa" w:w="751"/>
                  <w:tcBorders>
                    <w:top w:val="single" w:color="000000" w:sz="4"/>
                    <w:left w:val="none" w:color="000000" w:sz="4"/>
                    <w:bottom w:val="single" w:color="000000" w:sz="4"/>
                    <w:right w:val="single" w:color="000000" w:sz="4"/>
                  </w:tcBorders>
                </w:tcPr>
                <w:p>
                  <w:pPr>
                    <w:jc w:val="center"/>
                  </w:pPr>
                  <w:r>
                    <w:rPr>
                      <w:b/>
                      <w:color w:val="000000"/>
                      <w:sz w:val="24"/>
                    </w:rPr>
                    <w:t>设备名称</w:t>
                  </w:r>
                </w:p>
              </w:tc>
              <w:tc>
                <w:tcPr>
                  <w:tcW w:type="dxa" w:w="3242"/>
                  <w:tcBorders>
                    <w:top w:val="single" w:color="000000" w:sz="4"/>
                    <w:left w:val="none" w:color="000000" w:sz="4"/>
                    <w:bottom w:val="single" w:color="000000" w:sz="4"/>
                    <w:right w:val="single" w:color="000000" w:sz="4"/>
                  </w:tcBorders>
                </w:tcPr>
                <w:p>
                  <w:pPr>
                    <w:jc w:val="center"/>
                  </w:pPr>
                  <w:r>
                    <w:rPr>
                      <w:b/>
                      <w:color w:val="000000"/>
                      <w:sz w:val="24"/>
                    </w:rPr>
                    <w:t>技术参数</w:t>
                  </w:r>
                </w:p>
              </w:tc>
              <w:tc>
                <w:tcPr>
                  <w:tcW w:type="dxa" w:w="406"/>
                  <w:tcBorders>
                    <w:top w:val="single" w:color="000000" w:sz="4"/>
                    <w:left w:val="none" w:color="000000" w:sz="4"/>
                    <w:bottom w:val="single" w:color="000000" w:sz="4"/>
                    <w:right w:val="single" w:color="000000" w:sz="4"/>
                  </w:tcBorders>
                </w:tcPr>
                <w:p>
                  <w:pPr>
                    <w:jc w:val="center"/>
                  </w:pPr>
                  <w:r>
                    <w:rPr>
                      <w:b/>
                      <w:color w:val="000000"/>
                      <w:sz w:val="24"/>
                    </w:rPr>
                    <w:t>单位</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数量</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备注</w:t>
                  </w:r>
                </w:p>
              </w:tc>
            </w:tr>
            <w:tr>
              <w:tc>
                <w:tcPr>
                  <w:tcW w:type="dxa" w:w="5596"/>
                  <w:gridSpan w:val="6"/>
                  <w:tcBorders>
                    <w:top w:val="none" w:color="000000" w:sz="4"/>
                    <w:left w:val="single" w:color="000000" w:sz="4"/>
                    <w:bottom w:val="single" w:color="000000" w:sz="4"/>
                    <w:right w:val="single" w:color="000000" w:sz="4"/>
                  </w:tcBorders>
                </w:tcPr>
                <w:p>
                  <w:pPr>
                    <w:jc w:val="left"/>
                  </w:pPr>
                  <w:r>
                    <w:rPr>
                      <w:b/>
                      <w:color w:val="000000"/>
                      <w:sz w:val="24"/>
                    </w:rPr>
                    <w:t>5</w:t>
                  </w:r>
                  <w:r>
                    <w:rPr>
                      <w:b/>
                      <w:color w:val="000000"/>
                      <w:sz w:val="24"/>
                    </w:rPr>
                    <w:t>、中队指挥室及执法站岗亭</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4</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B21</w:t>
                  </w:r>
                  <w:r>
                    <w:rPr>
                      <w:color w:val="000000"/>
                      <w:sz w:val="24"/>
                    </w:rPr>
                    <w:t>一体机</w:t>
                  </w:r>
                </w:p>
              </w:tc>
              <w:tc>
                <w:tcPr>
                  <w:tcW w:type="dxa" w:w="3242"/>
                  <w:tcBorders>
                    <w:top w:val="none" w:color="000000" w:sz="4"/>
                    <w:left w:val="none" w:color="000000" w:sz="4"/>
                    <w:bottom w:val="single" w:color="000000" w:sz="4"/>
                    <w:right w:val="single" w:color="000000" w:sz="4"/>
                  </w:tcBorders>
                  <w:vAlign w:val="top"/>
                </w:tcPr>
                <w:p>
                  <w:pPr>
                    <w:jc w:val="left"/>
                  </w:pPr>
                  <w:r>
                    <w:rPr>
                      <w:b/>
                      <w:color w:val="000000"/>
                      <w:sz w:val="24"/>
                    </w:rPr>
                    <w:t>3</w:t>
                  </w:r>
                  <w:r>
                    <w:rPr>
                      <w:b/>
                      <w:color w:val="000000"/>
                      <w:sz w:val="24"/>
                    </w:rPr>
                    <w:t>、▲支持同一输入通道的视频图像在拼接屏组各物理单元之间显示时差小于1ms；（提供公安部权威检测机构出具的检测报告复印件，并加盖原厂商公章或投标专用章）</w:t>
                  </w:r>
                  <w:r>
                    <w:br/>
                  </w:r>
                  <w:r>
                    <w:rPr>
                      <w:b/>
                      <w:color w:val="000000"/>
                      <w:sz w:val="24"/>
                    </w:rPr>
                    <w:t>4、▲支持ISCSI、IPSAN等存储方式；（提供公安部权威检测机构出具的检测报告复印件，并加盖原厂商公章或投标专用章）</w:t>
                  </w:r>
                  <w:r>
                    <w:br/>
                  </w:r>
                  <w:r>
                    <w:rPr>
                      <w:b/>
                      <w:color w:val="000000"/>
                      <w:sz w:val="24"/>
                    </w:rPr>
                    <w:t>5、▲支持标清/高清/模拟/数字等多种视频混合显示；（提供公安部权威检测机构出具的检测报告复印件，并加盖原厂商公章或投标专用章）</w:t>
                  </w:r>
                  <w:r>
                    <w:br/>
                  </w:r>
                  <w:r>
                    <w:rPr>
                      <w:b/>
                      <w:color w:val="000000"/>
                      <w:sz w:val="24"/>
                    </w:rPr>
                    <w:t>6、▲支持文字左对齐、右对齐、居中、横排、竖排显示；字体可进行滚动显示，滚动速度、方向可调节；（提供公安部权威检测机构出具的检测报告复印件，并加盖原厂商公章或投标专用章）</w:t>
                  </w:r>
                </w:p>
              </w:tc>
              <w:tc>
                <w:tcPr>
                  <w:tcW w:type="dxa" w:w="406"/>
                  <w:tcBorders>
                    <w:top w:val="none" w:color="000000" w:sz="4"/>
                    <w:left w:val="none" w:color="000000" w:sz="4"/>
                    <w:bottom w:val="single" w:color="000000" w:sz="4"/>
                    <w:right w:val="single" w:color="000000" w:sz="4"/>
                  </w:tcBorders>
                </w:tcPr>
                <w:p>
                  <w:r>
                    <w:rPr/>
                    <w:t xml:space="preserve"> </w:t>
                  </w:r>
                </w:p>
              </w:tc>
              <w:tc>
                <w:tcPr>
                  <w:tcW w:type="dxa" w:w="399"/>
                  <w:tcBorders>
                    <w:top w:val="none" w:color="000000" w:sz="4"/>
                    <w:left w:val="none" w:color="000000" w:sz="4"/>
                    <w:bottom w:val="single" w:color="000000" w:sz="4"/>
                    <w:right w:val="single" w:color="000000" w:sz="4"/>
                  </w:tcBorders>
                </w:tcPr>
                <w:p>
                  <w:r>
                    <w:rPr/>
                    <w:t xml:space="preserve"> </w:t>
                  </w:r>
                </w:p>
              </w:tc>
              <w:tc>
                <w:tcPr>
                  <w:tcW w:type="dxa" w:w="399"/>
                  <w:tcBorders>
                    <w:top w:val="none" w:color="000000" w:sz="4"/>
                    <w:left w:val="none" w:color="000000" w:sz="4"/>
                    <w:bottom w:val="single" w:color="000000" w:sz="4"/>
                    <w:right w:val="single" w:color="000000" w:sz="4"/>
                  </w:tcBorders>
                </w:tcPr>
                <w:p>
                  <w:r>
                    <w:rPr/>
                    <w:t xml:space="preserve"> </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河源市公安局交警支队205国道科技示范公路项目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4"/>
              </w:rPr>
              <w:t>1.</w:t>
            </w:r>
            <w:r>
              <w:rPr>
                <w:b/>
                <w:color w:val="000000"/>
                <w:sz w:val="24"/>
              </w:rPr>
              <w:t>软件开发清单</w:t>
            </w:r>
          </w:p>
          <w:tbl>
            <w:tblPr>
              <w:tblBorders>
                <w:top w:val="none" w:color="000000" w:sz="4"/>
                <w:left w:val="none" w:color="000000" w:sz="4"/>
                <w:bottom w:val="none" w:color="000000" w:sz="4"/>
                <w:right w:val="none" w:color="000000" w:sz="4"/>
                <w:insideH w:val="none"/>
                <w:insideV w:val="none"/>
              </w:tblBorders>
            </w:tblPr>
            <w:tblGrid>
              <w:gridCol w:w="498"/>
              <w:gridCol w:w="938"/>
              <w:gridCol w:w="4025"/>
              <w:gridCol w:w="494"/>
              <w:gridCol w:w="494"/>
              <w:gridCol w:w="541"/>
            </w:tblGrid>
            <w:tr>
              <w:tc>
                <w:tcPr>
                  <w:tcW w:type="dxa" w:w="498"/>
                  <w:tcBorders>
                    <w:top w:val="single" w:color="000000" w:sz="4"/>
                    <w:left w:val="single" w:color="000000" w:sz="4"/>
                    <w:bottom w:val="single" w:color="000000" w:sz="4"/>
                    <w:right w:val="single" w:color="000000" w:sz="4"/>
                  </w:tcBorders>
                </w:tcPr>
                <w:p>
                  <w:pPr>
                    <w:jc w:val="center"/>
                  </w:pPr>
                  <w:r>
                    <w:rPr>
                      <w:b/>
                      <w:color w:val="000000"/>
                      <w:sz w:val="24"/>
                    </w:rPr>
                    <w:t>序号</w:t>
                  </w:r>
                </w:p>
              </w:tc>
              <w:tc>
                <w:tcPr>
                  <w:tcW w:type="dxa" w:w="938"/>
                  <w:tcBorders>
                    <w:top w:val="single" w:color="000000" w:sz="4"/>
                    <w:left w:val="none" w:color="000000" w:sz="4"/>
                    <w:bottom w:val="single" w:color="000000" w:sz="4"/>
                    <w:right w:val="single" w:color="000000" w:sz="4"/>
                  </w:tcBorders>
                </w:tcPr>
                <w:p>
                  <w:pPr>
                    <w:jc w:val="center"/>
                  </w:pPr>
                  <w:r>
                    <w:rPr>
                      <w:b/>
                      <w:color w:val="000000"/>
                      <w:sz w:val="24"/>
                    </w:rPr>
                    <w:t>系统名称</w:t>
                  </w:r>
                </w:p>
              </w:tc>
              <w:tc>
                <w:tcPr>
                  <w:tcW w:type="dxa" w:w="4025"/>
                  <w:tcBorders>
                    <w:top w:val="single" w:color="000000" w:sz="4"/>
                    <w:left w:val="none" w:color="000000" w:sz="4"/>
                    <w:bottom w:val="single" w:color="000000" w:sz="4"/>
                    <w:right w:val="single" w:color="000000" w:sz="4"/>
                  </w:tcBorders>
                </w:tcPr>
                <w:p>
                  <w:pPr>
                    <w:jc w:val="center"/>
                  </w:pPr>
                  <w:r>
                    <w:rPr>
                      <w:b/>
                      <w:color w:val="000000"/>
                      <w:sz w:val="24"/>
                    </w:rPr>
                    <w:t>功能描述</w:t>
                  </w:r>
                </w:p>
              </w:tc>
              <w:tc>
                <w:tcPr>
                  <w:tcW w:type="dxa" w:w="494"/>
                  <w:tcBorders>
                    <w:top w:val="single" w:color="000000" w:sz="4"/>
                    <w:left w:val="none" w:color="000000" w:sz="4"/>
                    <w:bottom w:val="single" w:color="000000" w:sz="4"/>
                    <w:right w:val="single" w:color="000000" w:sz="4"/>
                  </w:tcBorders>
                </w:tcPr>
                <w:p>
                  <w:pPr>
                    <w:jc w:val="center"/>
                  </w:pPr>
                  <w:r>
                    <w:rPr>
                      <w:b/>
                      <w:color w:val="000000"/>
                      <w:sz w:val="24"/>
                    </w:rPr>
                    <w:t>数量</w:t>
                  </w:r>
                </w:p>
              </w:tc>
              <w:tc>
                <w:tcPr>
                  <w:tcW w:type="dxa" w:w="494"/>
                  <w:tcBorders>
                    <w:top w:val="single" w:color="000000" w:sz="4"/>
                    <w:left w:val="none" w:color="000000" w:sz="4"/>
                    <w:bottom w:val="single" w:color="000000" w:sz="4"/>
                    <w:right w:val="single" w:color="000000" w:sz="4"/>
                  </w:tcBorders>
                </w:tcPr>
                <w:p>
                  <w:pPr>
                    <w:jc w:val="center"/>
                  </w:pPr>
                  <w:r>
                    <w:rPr>
                      <w:b/>
                      <w:color w:val="000000"/>
                      <w:sz w:val="24"/>
                    </w:rPr>
                    <w:t>单位</w:t>
                  </w:r>
                </w:p>
              </w:tc>
              <w:tc>
                <w:tcPr>
                  <w:tcW w:type="dxa" w:w="541"/>
                  <w:tcBorders>
                    <w:top w:val="single" w:color="000000" w:sz="4"/>
                    <w:left w:val="none" w:color="000000" w:sz="4"/>
                    <w:bottom w:val="single" w:color="000000" w:sz="4"/>
                    <w:right w:val="single" w:color="000000" w:sz="4"/>
                  </w:tcBorders>
                </w:tcPr>
                <w:p>
                  <w:pPr>
                    <w:jc w:val="center"/>
                  </w:pPr>
                  <w:r>
                    <w:rPr>
                      <w:b/>
                      <w:color w:val="000000"/>
                      <w:sz w:val="24"/>
                    </w:rPr>
                    <w:t>备注</w:t>
                  </w:r>
                </w:p>
              </w:tc>
            </w:tr>
            <w:tr>
              <w:tc>
                <w:tcPr>
                  <w:tcW w:type="dxa" w:w="6990"/>
                  <w:gridSpan w:val="6"/>
                  <w:tcBorders>
                    <w:top w:val="none" w:color="000000" w:sz="4"/>
                    <w:left w:val="single" w:color="000000" w:sz="4"/>
                    <w:bottom w:val="single" w:color="000000" w:sz="4"/>
                    <w:right w:val="single" w:color="000000" w:sz="4"/>
                  </w:tcBorders>
                </w:tcPr>
                <w:p>
                  <w:pPr>
                    <w:jc w:val="left"/>
                  </w:pPr>
                  <w:r>
                    <w:rPr>
                      <w:b/>
                      <w:color w:val="000000"/>
                      <w:sz w:val="24"/>
                    </w:rPr>
                    <w:t>一、交通应用平台</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1</w:t>
                  </w:r>
                </w:p>
              </w:tc>
              <w:tc>
                <w:tcPr>
                  <w:tcW w:type="dxa" w:w="938"/>
                  <w:vMerge w:val="restart"/>
                  <w:tcBorders>
                    <w:top w:val="none" w:color="000000" w:sz="4"/>
                    <w:left w:val="none" w:color="000000" w:sz="4"/>
                    <w:bottom w:val="single" w:color="000000" w:sz="4"/>
                    <w:right w:val="single" w:color="000000" w:sz="4"/>
                  </w:tcBorders>
                </w:tcPr>
                <w:p>
                  <w:pPr>
                    <w:jc w:val="center"/>
                  </w:pPr>
                  <w:r>
                    <w:rPr>
                      <w:color w:val="000000"/>
                      <w:sz w:val="24"/>
                    </w:rPr>
                    <w:t>交通基础数据管理</w:t>
                  </w:r>
                </w:p>
              </w:tc>
              <w:tc>
                <w:tcPr>
                  <w:tcW w:type="dxa" w:w="4025"/>
                  <w:tcBorders>
                    <w:top w:val="none" w:color="000000" w:sz="4"/>
                    <w:left w:val="none" w:color="000000" w:sz="4"/>
                    <w:bottom w:val="single" w:color="000000" w:sz="4"/>
                    <w:right w:val="single" w:color="000000" w:sz="4"/>
                  </w:tcBorders>
                </w:tcPr>
                <w:p>
                  <w:pPr>
                    <w:jc w:val="left"/>
                  </w:pPr>
                  <w:r>
                    <w:rPr>
                      <w:color w:val="000000"/>
                      <w:sz w:val="24"/>
                    </w:rPr>
                    <w:t>基础信息采集：交警大队/中队勤务安排、道路及基础设施、道路交通安全设施、道路交通安全监测设备、中心软硬件等</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2</w:t>
                  </w:r>
                </w:p>
              </w:tc>
              <w:tc>
                <w:tcPr>
                  <w:tcW w:type="dxa" w:w="938"/>
                  <w:vMerge/>
                  <w:tcBorders>
                    <w:top w:val="none" w:color="000000" w:sz="4"/>
                    <w:left w:val="none" w:color="000000" w:sz="4"/>
                    <w:bottom w:val="single" w:color="000000" w:sz="4"/>
                    <w:right w:val="single" w:color="000000" w:sz="4"/>
                  </w:tcBorders>
                </w:tcPr>
                <w:p/>
              </w:tc>
              <w:tc>
                <w:tcPr>
                  <w:tcW w:type="dxa" w:w="4025"/>
                  <w:tcBorders>
                    <w:top w:val="none" w:color="000000" w:sz="4"/>
                    <w:left w:val="none" w:color="000000" w:sz="4"/>
                    <w:bottom w:val="single" w:color="000000" w:sz="4"/>
                    <w:right w:val="single" w:color="000000" w:sz="4"/>
                  </w:tcBorders>
                </w:tcPr>
                <w:p>
                  <w:pPr>
                    <w:jc w:val="left"/>
                  </w:pPr>
                  <w:r>
                    <w:rPr>
                      <w:color w:val="000000"/>
                      <w:sz w:val="24"/>
                    </w:rPr>
                    <w:t>信息查询展示：对接地理信息系统，实现分层、标注、平移缩放、鹰眼等空间可视化展示，实现以点缓冲、线缓冲、点选、多边形、圆形、拉框等方式空间定位查询，为制作按重要节点、道路、辖区等分颜色渲染的专题图提供导出数据</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3</w:t>
                  </w:r>
                </w:p>
              </w:tc>
              <w:tc>
                <w:tcPr>
                  <w:tcW w:type="dxa" w:w="938"/>
                  <w:vMerge/>
                  <w:tcBorders>
                    <w:top w:val="none" w:color="000000" w:sz="4"/>
                    <w:left w:val="none" w:color="000000" w:sz="4"/>
                    <w:bottom w:val="single" w:color="000000" w:sz="4"/>
                    <w:right w:val="single" w:color="000000" w:sz="4"/>
                  </w:tcBorders>
                </w:tcPr>
                <w:p/>
              </w:tc>
              <w:tc>
                <w:tcPr>
                  <w:tcW w:type="dxa" w:w="4025"/>
                  <w:tcBorders>
                    <w:top w:val="none" w:color="000000" w:sz="4"/>
                    <w:left w:val="none" w:color="000000" w:sz="4"/>
                    <w:bottom w:val="single" w:color="000000" w:sz="4"/>
                    <w:right w:val="single" w:color="000000" w:sz="4"/>
                  </w:tcBorders>
                </w:tcPr>
                <w:p>
                  <w:pPr>
                    <w:jc w:val="left"/>
                  </w:pPr>
                  <w:r>
                    <w:rPr>
                      <w:color w:val="000000"/>
                      <w:sz w:val="24"/>
                    </w:rPr>
                    <w:t>信息统计分析：对各类交通基础信息的分类统计分析和图形化展示，基于GIS实现路网拓扑关系下的缓冲区分析、叠加分析、聚合分析、热点分析等空间分析功能</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4</w:t>
                  </w:r>
                </w:p>
              </w:tc>
              <w:tc>
                <w:tcPr>
                  <w:tcW w:type="dxa" w:w="938"/>
                  <w:vMerge w:val="restart"/>
                  <w:tcBorders>
                    <w:top w:val="none" w:color="000000" w:sz="4"/>
                    <w:left w:val="none" w:color="000000" w:sz="4"/>
                    <w:bottom w:val="single" w:color="000000" w:sz="4"/>
                    <w:right w:val="single" w:color="000000" w:sz="4"/>
                  </w:tcBorders>
                </w:tcPr>
                <w:p>
                  <w:pPr>
                    <w:jc w:val="center"/>
                  </w:pPr>
                  <w:r>
                    <w:rPr>
                      <w:color w:val="000000"/>
                      <w:sz w:val="24"/>
                    </w:rPr>
                    <w:t>视频监控巡逻</w:t>
                  </w:r>
                </w:p>
              </w:tc>
              <w:tc>
                <w:tcPr>
                  <w:tcW w:type="dxa" w:w="4025"/>
                  <w:tcBorders>
                    <w:top w:val="none" w:color="000000" w:sz="4"/>
                    <w:left w:val="none" w:color="000000" w:sz="4"/>
                    <w:bottom w:val="single" w:color="000000" w:sz="4"/>
                    <w:right w:val="single" w:color="000000" w:sz="4"/>
                  </w:tcBorders>
                </w:tcPr>
                <w:p>
                  <w:pPr>
                    <w:jc w:val="left"/>
                  </w:pPr>
                  <w:r>
                    <w:rPr>
                      <w:color w:val="000000"/>
                      <w:sz w:val="24"/>
                    </w:rPr>
                    <w:t>交通视频实时监控：能通过GIS电子地图、视频点位列表等方式，选择点位查看辖区道路监控视频信息（单画面、多画面、轮巡），点击GIS地图上的高清视频监控图例进行快速实时视频调取查看，可进行录像、抓拍和存储。根据授权，实现监控视频设备的云台控制</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5</w:t>
                  </w:r>
                </w:p>
              </w:tc>
              <w:tc>
                <w:tcPr>
                  <w:tcW w:type="dxa" w:w="938"/>
                  <w:vMerge/>
                  <w:tcBorders>
                    <w:top w:val="none" w:color="000000" w:sz="4"/>
                    <w:left w:val="none" w:color="000000" w:sz="4"/>
                    <w:bottom w:val="single" w:color="000000" w:sz="4"/>
                    <w:right w:val="single" w:color="000000" w:sz="4"/>
                  </w:tcBorders>
                </w:tcPr>
                <w:p/>
              </w:tc>
              <w:tc>
                <w:tcPr>
                  <w:tcW w:type="dxa" w:w="4025"/>
                  <w:tcBorders>
                    <w:top w:val="none" w:color="000000" w:sz="4"/>
                    <w:left w:val="none" w:color="000000" w:sz="4"/>
                    <w:bottom w:val="single" w:color="000000" w:sz="4"/>
                    <w:right w:val="single" w:color="000000" w:sz="4"/>
                  </w:tcBorders>
                </w:tcPr>
                <w:p>
                  <w:pPr>
                    <w:jc w:val="left"/>
                  </w:pPr>
                  <w:r>
                    <w:rPr>
                      <w:color w:val="000000"/>
                      <w:sz w:val="24"/>
                    </w:rPr>
                    <w:t>历史视频调阅：平台能按时间、地点、类型等，检索辖区高速道路监控设备的历史视频，并进行回放、下载。</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6</w:t>
                  </w:r>
                </w:p>
              </w:tc>
              <w:tc>
                <w:tcPr>
                  <w:tcW w:type="dxa" w:w="938"/>
                  <w:vMerge/>
                  <w:tcBorders>
                    <w:top w:val="none" w:color="000000" w:sz="4"/>
                    <w:left w:val="none" w:color="000000" w:sz="4"/>
                    <w:bottom w:val="single" w:color="000000" w:sz="4"/>
                    <w:right w:val="single" w:color="000000" w:sz="4"/>
                  </w:tcBorders>
                </w:tcPr>
                <w:p/>
              </w:tc>
              <w:tc>
                <w:tcPr>
                  <w:tcW w:type="dxa" w:w="4025"/>
                  <w:tcBorders>
                    <w:top w:val="none" w:color="000000" w:sz="4"/>
                    <w:left w:val="none" w:color="000000" w:sz="4"/>
                    <w:bottom w:val="single" w:color="000000" w:sz="4"/>
                    <w:right w:val="single" w:color="000000" w:sz="4"/>
                  </w:tcBorders>
                </w:tcPr>
                <w:p>
                  <w:pPr>
                    <w:jc w:val="left"/>
                  </w:pPr>
                  <w:r>
                    <w:rPr>
                      <w:color w:val="000000"/>
                      <w:sz w:val="24"/>
                    </w:rPr>
                    <w:t>人工切换视频巡逻：人工视频巡逻即传统巡逻方式，在页面或客户端展开视频监控点位列表，由支队、高速大队用户点击选择观看实时监控视频。用户还可以通过查询方式快速找到关心的视频点位。支队、高速大队巡逻辖区管理路段的所有视频点位。</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7</w:t>
                  </w:r>
                </w:p>
              </w:tc>
              <w:tc>
                <w:tcPr>
                  <w:tcW w:type="dxa" w:w="938"/>
                  <w:vMerge/>
                  <w:tcBorders>
                    <w:top w:val="none" w:color="000000" w:sz="4"/>
                    <w:left w:val="none" w:color="000000" w:sz="4"/>
                    <w:bottom w:val="single" w:color="000000" w:sz="4"/>
                    <w:right w:val="single" w:color="000000" w:sz="4"/>
                  </w:tcBorders>
                </w:tcPr>
                <w:p/>
              </w:tc>
              <w:tc>
                <w:tcPr>
                  <w:tcW w:type="dxa" w:w="4025"/>
                  <w:tcBorders>
                    <w:top w:val="none" w:color="000000" w:sz="4"/>
                    <w:left w:val="none" w:color="000000" w:sz="4"/>
                    <w:bottom w:val="single" w:color="000000" w:sz="4"/>
                    <w:right w:val="single" w:color="000000" w:sz="4"/>
                  </w:tcBorders>
                </w:tcPr>
                <w:p>
                  <w:pPr>
                    <w:jc w:val="left"/>
                  </w:pPr>
                  <w:r>
                    <w:rPr>
                      <w:color w:val="000000"/>
                      <w:sz w:val="24"/>
                    </w:rPr>
                    <w:t>视频任务自动巡逻：巡逻任务生成、巡逻路线设定、按路线自动巡逻、按场景自动巡逻、按事件自动巡逻。</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8</w:t>
                  </w:r>
                </w:p>
              </w:tc>
              <w:tc>
                <w:tcPr>
                  <w:tcW w:type="dxa" w:w="938"/>
                  <w:vMerge w:val="restart"/>
                  <w:tcBorders>
                    <w:top w:val="none" w:color="000000" w:sz="4"/>
                    <w:left w:val="none" w:color="000000" w:sz="4"/>
                    <w:bottom w:val="single" w:color="000000" w:sz="4"/>
                    <w:right w:val="single" w:color="000000" w:sz="4"/>
                  </w:tcBorders>
                </w:tcPr>
                <w:p>
                  <w:pPr>
                    <w:jc w:val="center"/>
                  </w:pPr>
                  <w:r>
                    <w:rPr>
                      <w:color w:val="000000"/>
                      <w:sz w:val="24"/>
                    </w:rPr>
                    <w:t>交通信息发布</w:t>
                  </w:r>
                </w:p>
              </w:tc>
              <w:tc>
                <w:tcPr>
                  <w:tcW w:type="dxa" w:w="4025"/>
                  <w:tcBorders>
                    <w:top w:val="none" w:color="000000" w:sz="4"/>
                    <w:left w:val="none" w:color="000000" w:sz="4"/>
                    <w:bottom w:val="single" w:color="000000" w:sz="4"/>
                    <w:right w:val="single" w:color="000000" w:sz="4"/>
                  </w:tcBorders>
                </w:tcPr>
                <w:p>
                  <w:pPr>
                    <w:jc w:val="left"/>
                  </w:pPr>
                  <w:r>
                    <w:rPr>
                      <w:color w:val="000000"/>
                      <w:sz w:val="24"/>
                    </w:rPr>
                    <w:t>预定方案发布：发布预案编辑、交通宣传信息发布、交通违法警告发布、交通气象日常信息发布、交通路况实时信息发布、信息发布审核、远程开关控制。</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9</w:t>
                  </w:r>
                </w:p>
              </w:tc>
              <w:tc>
                <w:tcPr>
                  <w:tcW w:type="dxa" w:w="938"/>
                  <w:vMerge/>
                  <w:tcBorders>
                    <w:top w:val="none" w:color="000000" w:sz="4"/>
                    <w:left w:val="none" w:color="000000" w:sz="4"/>
                    <w:bottom w:val="single" w:color="000000" w:sz="4"/>
                    <w:right w:val="single" w:color="000000" w:sz="4"/>
                  </w:tcBorders>
                </w:tcPr>
                <w:p/>
              </w:tc>
              <w:tc>
                <w:tcPr>
                  <w:tcW w:type="dxa" w:w="4025"/>
                  <w:tcBorders>
                    <w:top w:val="none" w:color="000000" w:sz="4"/>
                    <w:left w:val="none" w:color="000000" w:sz="4"/>
                    <w:bottom w:val="single" w:color="000000" w:sz="4"/>
                    <w:right w:val="single" w:color="000000" w:sz="4"/>
                  </w:tcBorders>
                </w:tcPr>
                <w:p>
                  <w:pPr>
                    <w:jc w:val="left"/>
                  </w:pPr>
                  <w:r>
                    <w:rPr>
                      <w:color w:val="000000"/>
                      <w:sz w:val="24"/>
                    </w:rPr>
                    <w:t>自动关联发布：单向关联发布、双向关联发布、重要节点关联发布</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10</w:t>
                  </w:r>
                </w:p>
              </w:tc>
              <w:tc>
                <w:tcPr>
                  <w:tcW w:type="dxa" w:w="938"/>
                  <w:vMerge w:val="restart"/>
                  <w:tcBorders>
                    <w:top w:val="none" w:color="000000" w:sz="4"/>
                    <w:left w:val="none" w:color="000000" w:sz="4"/>
                    <w:bottom w:val="single" w:color="000000" w:sz="4"/>
                    <w:right w:val="single" w:color="000000" w:sz="4"/>
                  </w:tcBorders>
                </w:tcPr>
                <w:p>
                  <w:pPr>
                    <w:jc w:val="center"/>
                  </w:pPr>
                  <w:r>
                    <w:rPr>
                      <w:color w:val="000000"/>
                      <w:sz w:val="24"/>
                    </w:rPr>
                    <w:t>车辆监测</w:t>
                  </w:r>
                </w:p>
              </w:tc>
              <w:tc>
                <w:tcPr>
                  <w:tcW w:type="dxa" w:w="4025"/>
                  <w:tcBorders>
                    <w:top w:val="none" w:color="000000" w:sz="4"/>
                    <w:left w:val="none" w:color="000000" w:sz="4"/>
                    <w:bottom w:val="single" w:color="000000" w:sz="4"/>
                    <w:right w:val="single" w:color="000000" w:sz="4"/>
                  </w:tcBorders>
                </w:tcPr>
                <w:p>
                  <w:pPr>
                    <w:jc w:val="left"/>
                  </w:pPr>
                  <w:r>
                    <w:rPr>
                      <w:color w:val="000000"/>
                      <w:sz w:val="24"/>
                    </w:rPr>
                    <w:t>卡口过车监测：实现对单个卡口、多个卡口进行实时监测、列表显示通行车辆的信息，包括通过时间、通过地点、号牌种类、号牌号码、行驶方向、行驶速度、车辆品牌、车身颜色、车辆属地、图片详情等</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11</w:t>
                  </w:r>
                </w:p>
              </w:tc>
              <w:tc>
                <w:tcPr>
                  <w:tcW w:type="dxa" w:w="938"/>
                  <w:vMerge/>
                  <w:tcBorders>
                    <w:top w:val="none" w:color="000000" w:sz="4"/>
                    <w:left w:val="none" w:color="000000" w:sz="4"/>
                    <w:bottom w:val="single" w:color="000000" w:sz="4"/>
                    <w:right w:val="single" w:color="000000" w:sz="4"/>
                  </w:tcBorders>
                </w:tcPr>
                <w:p/>
              </w:tc>
              <w:tc>
                <w:tcPr>
                  <w:tcW w:type="dxa" w:w="4025"/>
                  <w:tcBorders>
                    <w:top w:val="none" w:color="000000" w:sz="4"/>
                    <w:left w:val="none" w:color="000000" w:sz="4"/>
                    <w:bottom w:val="single" w:color="000000" w:sz="4"/>
                    <w:right w:val="single" w:color="000000" w:sz="4"/>
                  </w:tcBorders>
                </w:tcPr>
                <w:p>
                  <w:pPr>
                    <w:jc w:val="left"/>
                  </w:pPr>
                  <w:r>
                    <w:rPr>
                      <w:color w:val="000000"/>
                      <w:sz w:val="24"/>
                    </w:rPr>
                    <w:t>车辆历史轨迹分析：输入特定目标车辆（尤其是嫌疑车辆）号牌号码、车辆类型和时间段，点查询，列表将展示该时间段所有出现该车辆通过的卡口点历史记录数据，列表显示该车辆通过卡口的通过时间、卡口名称、行驶方向，并在GIS地图上标注卡口点，还原车辆在辖区内的出入隧道、上下匝道、进出服务区、进出辖区等轨迹情况，支持可视化展示</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12</w:t>
                  </w:r>
                </w:p>
              </w:tc>
              <w:tc>
                <w:tcPr>
                  <w:tcW w:type="dxa" w:w="938"/>
                  <w:vMerge/>
                  <w:tcBorders>
                    <w:top w:val="none" w:color="000000" w:sz="4"/>
                    <w:left w:val="none" w:color="000000" w:sz="4"/>
                    <w:bottom w:val="single" w:color="000000" w:sz="4"/>
                    <w:right w:val="single" w:color="000000" w:sz="4"/>
                  </w:tcBorders>
                </w:tcPr>
                <w:p/>
              </w:tc>
              <w:tc>
                <w:tcPr>
                  <w:tcW w:type="dxa" w:w="4025"/>
                  <w:tcBorders>
                    <w:top w:val="none" w:color="000000" w:sz="4"/>
                    <w:left w:val="none" w:color="000000" w:sz="4"/>
                    <w:bottom w:val="single" w:color="000000" w:sz="4"/>
                    <w:right w:val="single" w:color="000000" w:sz="4"/>
                  </w:tcBorders>
                </w:tcPr>
                <w:p>
                  <w:pPr>
                    <w:jc w:val="left"/>
                  </w:pPr>
                  <w:r>
                    <w:rPr>
                      <w:color w:val="000000"/>
                      <w:sz w:val="24"/>
                    </w:rPr>
                    <w:t>车辆轨迹实时地图展示：实现对单台或多台车辆过车信息的实时监控，查看其经过卡口的图片、时间等信息。可对指定车辆实时跟踪在GIS地图上展示实时行进的轨迹，起到实时轨迹跟踪的作用。对于需要拦截的车辆，指挥中心可根据车辆实时轨迹指挥前端民警拦截。</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13</w:t>
                  </w:r>
                </w:p>
              </w:tc>
              <w:tc>
                <w:tcPr>
                  <w:tcW w:type="dxa" w:w="938"/>
                  <w:vMerge/>
                  <w:tcBorders>
                    <w:top w:val="none" w:color="000000" w:sz="4"/>
                    <w:left w:val="none" w:color="000000" w:sz="4"/>
                    <w:bottom w:val="single" w:color="000000" w:sz="4"/>
                    <w:right w:val="single" w:color="000000" w:sz="4"/>
                  </w:tcBorders>
                </w:tcPr>
                <w:p/>
              </w:tc>
              <w:tc>
                <w:tcPr>
                  <w:tcW w:type="dxa" w:w="4025"/>
                  <w:tcBorders>
                    <w:top w:val="none" w:color="000000" w:sz="4"/>
                    <w:left w:val="none" w:color="000000" w:sz="4"/>
                    <w:bottom w:val="single" w:color="000000" w:sz="4"/>
                    <w:right w:val="single" w:color="000000" w:sz="4"/>
                  </w:tcBorders>
                </w:tcPr>
                <w:p>
                  <w:pPr>
                    <w:jc w:val="left"/>
                  </w:pPr>
                  <w:r>
                    <w:rPr>
                      <w:color w:val="000000"/>
                      <w:sz w:val="24"/>
                    </w:rPr>
                    <w:t>过车记录综合查询：实现通行车辆信息的精确查询、模糊查询、基于卡口及车辆通行信息的各类统计分析。数据实时处理、布控拦截业务、信息查询统计等各类业务信息的查询统计。实现对车辆登记信息、非现场违法信息、车辆所有人信息、布控预警信息等的关联查询。</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14</w:t>
                  </w:r>
                </w:p>
              </w:tc>
              <w:tc>
                <w:tcPr>
                  <w:tcW w:type="dxa" w:w="938"/>
                  <w:vMerge w:val="restart"/>
                  <w:tcBorders>
                    <w:top w:val="none" w:color="000000" w:sz="4"/>
                    <w:left w:val="none" w:color="000000" w:sz="4"/>
                    <w:bottom w:val="single" w:color="000000" w:sz="4"/>
                    <w:right w:val="single" w:color="000000" w:sz="4"/>
                  </w:tcBorders>
                </w:tcPr>
                <w:p>
                  <w:pPr>
                    <w:jc w:val="center"/>
                  </w:pPr>
                  <w:r>
                    <w:rPr>
                      <w:color w:val="000000"/>
                      <w:sz w:val="24"/>
                    </w:rPr>
                    <w:t>勤务管理</w:t>
                  </w:r>
                </w:p>
              </w:tc>
              <w:tc>
                <w:tcPr>
                  <w:tcW w:type="dxa" w:w="4025"/>
                  <w:tcBorders>
                    <w:top w:val="none" w:color="000000" w:sz="4"/>
                    <w:left w:val="none" w:color="000000" w:sz="4"/>
                    <w:bottom w:val="single" w:color="000000" w:sz="4"/>
                    <w:right w:val="single" w:color="000000" w:sz="4"/>
                  </w:tcBorders>
                </w:tcPr>
                <w:p>
                  <w:pPr>
                    <w:jc w:val="left"/>
                  </w:pPr>
                  <w:r>
                    <w:rPr>
                      <w:color w:val="000000"/>
                      <w:sz w:val="24"/>
                    </w:rPr>
                    <w:t>岗位配置：平台按内勤和外勤对各单位的岗位信息进行管理。</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15</w:t>
                  </w:r>
                </w:p>
              </w:tc>
              <w:tc>
                <w:tcPr>
                  <w:tcW w:type="dxa" w:w="938"/>
                  <w:vMerge/>
                  <w:tcBorders>
                    <w:top w:val="none" w:color="000000" w:sz="4"/>
                    <w:left w:val="none" w:color="000000" w:sz="4"/>
                    <w:bottom w:val="single" w:color="000000" w:sz="4"/>
                    <w:right w:val="single" w:color="000000" w:sz="4"/>
                  </w:tcBorders>
                </w:tcPr>
                <w:p/>
              </w:tc>
              <w:tc>
                <w:tcPr>
                  <w:tcW w:type="dxa" w:w="4025"/>
                  <w:tcBorders>
                    <w:top w:val="none" w:color="000000" w:sz="4"/>
                    <w:left w:val="none" w:color="000000" w:sz="4"/>
                    <w:bottom w:val="single" w:color="000000" w:sz="4"/>
                    <w:right w:val="single" w:color="000000" w:sz="4"/>
                  </w:tcBorders>
                </w:tcPr>
                <w:p>
                  <w:pPr>
                    <w:jc w:val="left"/>
                  </w:pPr>
                  <w:r>
                    <w:rPr>
                      <w:color w:val="000000"/>
                      <w:sz w:val="24"/>
                    </w:rPr>
                    <w:t>排班管理：平台可实现自动或手动排班，可根据警力资源优化研判结果及自动排班策略，实现自动排班，并经过人工修订和审核。</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16</w:t>
                  </w:r>
                </w:p>
              </w:tc>
              <w:tc>
                <w:tcPr>
                  <w:tcW w:type="dxa" w:w="938"/>
                  <w:vMerge/>
                  <w:tcBorders>
                    <w:top w:val="none" w:color="000000" w:sz="4"/>
                    <w:left w:val="none" w:color="000000" w:sz="4"/>
                    <w:bottom w:val="single" w:color="000000" w:sz="4"/>
                    <w:right w:val="single" w:color="000000" w:sz="4"/>
                  </w:tcBorders>
                </w:tcPr>
                <w:p/>
              </w:tc>
              <w:tc>
                <w:tcPr>
                  <w:tcW w:type="dxa" w:w="4025"/>
                  <w:tcBorders>
                    <w:top w:val="none" w:color="000000" w:sz="4"/>
                    <w:left w:val="none" w:color="000000" w:sz="4"/>
                    <w:bottom w:val="single" w:color="000000" w:sz="4"/>
                    <w:right w:val="single" w:color="000000" w:sz="4"/>
                  </w:tcBorders>
                </w:tcPr>
                <w:p>
                  <w:pPr>
                    <w:jc w:val="left"/>
                  </w:pPr>
                  <w:r>
                    <w:rPr>
                      <w:color w:val="000000"/>
                      <w:sz w:val="24"/>
                    </w:rPr>
                    <w:t>请假管理：可以对各单位的所有值班和执勤人员进行请销假管理及对请销假历史进行查询。下级可通过系统进行请假销假操作，负责人可以对下级请销假信息进行审批。</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17</w:t>
                  </w:r>
                </w:p>
              </w:tc>
              <w:tc>
                <w:tcPr>
                  <w:tcW w:type="dxa" w:w="938"/>
                  <w:vMerge/>
                  <w:tcBorders>
                    <w:top w:val="none" w:color="000000" w:sz="4"/>
                    <w:left w:val="none" w:color="000000" w:sz="4"/>
                    <w:bottom w:val="single" w:color="000000" w:sz="4"/>
                    <w:right w:val="single" w:color="000000" w:sz="4"/>
                  </w:tcBorders>
                </w:tcPr>
                <w:p/>
              </w:tc>
              <w:tc>
                <w:tcPr>
                  <w:tcW w:type="dxa" w:w="4025"/>
                  <w:tcBorders>
                    <w:top w:val="none" w:color="000000" w:sz="4"/>
                    <w:left w:val="none" w:color="000000" w:sz="4"/>
                    <w:bottom w:val="single" w:color="000000" w:sz="4"/>
                    <w:right w:val="single" w:color="000000" w:sz="4"/>
                  </w:tcBorders>
                </w:tcPr>
                <w:p>
                  <w:pPr>
                    <w:jc w:val="left"/>
                  </w:pPr>
                  <w:r>
                    <w:rPr>
                      <w:color w:val="000000"/>
                      <w:sz w:val="24"/>
                    </w:rPr>
                    <w:t>单位管理：平台在单位管理模块对各单位的人员及机构进行配置管理，以确定参与内外勤值班的机构及人员。单位管理是进行岗位配置、排班管理、请假管理等业务操作的前提和基础</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18</w:t>
                  </w:r>
                </w:p>
              </w:tc>
              <w:tc>
                <w:tcPr>
                  <w:tcW w:type="dxa" w:w="938"/>
                  <w:vMerge w:val="restart"/>
                  <w:tcBorders>
                    <w:top w:val="none" w:color="000000" w:sz="4"/>
                    <w:left w:val="none" w:color="000000" w:sz="4"/>
                    <w:bottom w:val="single" w:color="000000" w:sz="4"/>
                    <w:right w:val="single" w:color="000000" w:sz="4"/>
                  </w:tcBorders>
                </w:tcPr>
                <w:p>
                  <w:pPr>
                    <w:jc w:val="center"/>
                  </w:pPr>
                  <w:r>
                    <w:rPr>
                      <w:color w:val="000000"/>
                      <w:sz w:val="24"/>
                    </w:rPr>
                    <w:t>系统管理</w:t>
                  </w:r>
                </w:p>
              </w:tc>
              <w:tc>
                <w:tcPr>
                  <w:tcW w:type="dxa" w:w="4025"/>
                  <w:tcBorders>
                    <w:top w:val="none" w:color="000000" w:sz="4"/>
                    <w:left w:val="none" w:color="000000" w:sz="4"/>
                    <w:bottom w:val="single" w:color="000000" w:sz="4"/>
                    <w:right w:val="single" w:color="000000" w:sz="4"/>
                  </w:tcBorders>
                </w:tcPr>
                <w:p>
                  <w:pPr>
                    <w:jc w:val="left"/>
                  </w:pPr>
                  <w:r>
                    <w:rPr>
                      <w:color w:val="000000"/>
                      <w:sz w:val="24"/>
                    </w:rPr>
                    <w:t>用户权限管理：提供管理维护平台用户信息的功能。系统管理员管理平台的所有用户信息。提供管理维护平台用户角色权限的接口。系统管理员维护权限信息，通过为每个权限分配不同的功能（可以是一个或多个功能）来定义不同的功能集合即权限，从而为定义含有不同权限的角色做好准备。功能管理主要是对功能菜单进行维护，包括对功能菜单权限（是否可见、是否可用）的增加，修改，删除。数据权限主要是对数据可见范围的管理。</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19</w:t>
                  </w:r>
                </w:p>
              </w:tc>
              <w:tc>
                <w:tcPr>
                  <w:tcW w:type="dxa" w:w="938"/>
                  <w:vMerge/>
                  <w:tcBorders>
                    <w:top w:val="none" w:color="000000" w:sz="4"/>
                    <w:left w:val="none" w:color="000000" w:sz="4"/>
                    <w:bottom w:val="single" w:color="000000" w:sz="4"/>
                    <w:right w:val="single" w:color="000000" w:sz="4"/>
                  </w:tcBorders>
                </w:tcPr>
                <w:p/>
              </w:tc>
              <w:tc>
                <w:tcPr>
                  <w:tcW w:type="dxa" w:w="4025"/>
                  <w:tcBorders>
                    <w:top w:val="none" w:color="000000" w:sz="4"/>
                    <w:left w:val="none" w:color="000000" w:sz="4"/>
                    <w:bottom w:val="single" w:color="000000" w:sz="4"/>
                    <w:right w:val="single" w:color="000000" w:sz="4"/>
                  </w:tcBorders>
                </w:tcPr>
                <w:p>
                  <w:pPr>
                    <w:jc w:val="left"/>
                  </w:pPr>
                  <w:r>
                    <w:rPr>
                      <w:color w:val="000000"/>
                      <w:sz w:val="24"/>
                    </w:rPr>
                    <w:t>组织机构管理：机构管理主要是对机构信息进行维护，包括对机构信息的增加，修改，删除、查询等。人员管理主要对人员信息进行维护，包括对人员信息的增加人员信息，编辑人员信息，删除人员信息、查询人员信息等。系统支持同步获取集成指挥平台的机构、人员信息的功能。</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20</w:t>
                  </w:r>
                </w:p>
              </w:tc>
              <w:tc>
                <w:tcPr>
                  <w:tcW w:type="dxa" w:w="938"/>
                  <w:vMerge/>
                  <w:tcBorders>
                    <w:top w:val="none" w:color="000000" w:sz="4"/>
                    <w:left w:val="none" w:color="000000" w:sz="4"/>
                    <w:bottom w:val="single" w:color="000000" w:sz="4"/>
                    <w:right w:val="single" w:color="000000" w:sz="4"/>
                  </w:tcBorders>
                </w:tcPr>
                <w:p/>
              </w:tc>
              <w:tc>
                <w:tcPr>
                  <w:tcW w:type="dxa" w:w="4025"/>
                  <w:tcBorders>
                    <w:top w:val="none" w:color="000000" w:sz="4"/>
                    <w:left w:val="none" w:color="000000" w:sz="4"/>
                    <w:bottom w:val="single" w:color="000000" w:sz="4"/>
                    <w:right w:val="single" w:color="000000" w:sz="4"/>
                  </w:tcBorders>
                </w:tcPr>
                <w:p>
                  <w:pPr>
                    <w:jc w:val="left"/>
                  </w:pPr>
                  <w:r>
                    <w:rPr>
                      <w:color w:val="000000"/>
                      <w:sz w:val="24"/>
                    </w:rPr>
                    <w:t>系统配置管理：包含系统参数维护、数据字典维护、系统日志管理等。</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6990"/>
                  <w:gridSpan w:val="6"/>
                  <w:tcBorders>
                    <w:top w:val="none" w:color="000000" w:sz="4"/>
                    <w:left w:val="single" w:color="000000" w:sz="4"/>
                    <w:bottom w:val="single" w:color="000000" w:sz="4"/>
                    <w:right w:val="single" w:color="000000" w:sz="4"/>
                  </w:tcBorders>
                </w:tcPr>
                <w:p>
                  <w:pPr>
                    <w:jc w:val="left"/>
                  </w:pPr>
                  <w:r>
                    <w:rPr>
                      <w:b/>
                      <w:color w:val="000000"/>
                      <w:sz w:val="24"/>
                    </w:rPr>
                    <w:t>二、关联接口</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1</w:t>
                  </w:r>
                </w:p>
              </w:tc>
              <w:tc>
                <w:tcPr>
                  <w:tcW w:type="dxa" w:w="938"/>
                  <w:vMerge w:val="restart"/>
                  <w:tcBorders>
                    <w:top w:val="none" w:color="000000" w:sz="4"/>
                    <w:left w:val="none" w:color="000000" w:sz="4"/>
                    <w:bottom w:val="single" w:color="000000" w:sz="4"/>
                    <w:right w:val="single" w:color="000000" w:sz="4"/>
                  </w:tcBorders>
                </w:tcPr>
                <w:p>
                  <w:pPr>
                    <w:jc w:val="center"/>
                  </w:pPr>
                  <w:r>
                    <w:rPr>
                      <w:color w:val="000000"/>
                      <w:sz w:val="24"/>
                    </w:rPr>
                    <w:t>关联接口</w:t>
                  </w:r>
                </w:p>
              </w:tc>
              <w:tc>
                <w:tcPr>
                  <w:tcW w:type="dxa" w:w="4025"/>
                  <w:tcBorders>
                    <w:top w:val="none" w:color="000000" w:sz="4"/>
                    <w:left w:val="none" w:color="000000" w:sz="4"/>
                    <w:bottom w:val="single" w:color="000000" w:sz="4"/>
                    <w:right w:val="single" w:color="000000" w:sz="4"/>
                  </w:tcBorders>
                </w:tcPr>
                <w:p>
                  <w:pPr>
                    <w:jc w:val="left"/>
                  </w:pPr>
                  <w:r>
                    <w:rPr>
                      <w:color w:val="000000"/>
                      <w:sz w:val="24"/>
                    </w:rPr>
                    <w:t>与公安交通集成指挥平台（支队公安网）</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2</w:t>
                  </w:r>
                </w:p>
              </w:tc>
              <w:tc>
                <w:tcPr>
                  <w:tcW w:type="dxa" w:w="938"/>
                  <w:vMerge/>
                  <w:tcBorders>
                    <w:top w:val="none" w:color="000000" w:sz="4"/>
                    <w:left w:val="none" w:color="000000" w:sz="4"/>
                    <w:bottom w:val="single" w:color="000000" w:sz="4"/>
                    <w:right w:val="single" w:color="000000" w:sz="4"/>
                  </w:tcBorders>
                </w:tcPr>
                <w:p/>
              </w:tc>
              <w:tc>
                <w:tcPr>
                  <w:tcW w:type="dxa" w:w="4025"/>
                  <w:tcBorders>
                    <w:top w:val="none" w:color="000000" w:sz="4"/>
                    <w:left w:val="none" w:color="000000" w:sz="4"/>
                    <w:bottom w:val="single" w:color="000000" w:sz="4"/>
                    <w:right w:val="single" w:color="000000" w:sz="4"/>
                  </w:tcBorders>
                </w:tcPr>
                <w:p>
                  <w:pPr>
                    <w:jc w:val="left"/>
                  </w:pPr>
                  <w:r>
                    <w:rPr>
                      <w:color w:val="000000"/>
                      <w:sz w:val="24"/>
                    </w:rPr>
                    <w:t>与市局视频管理系统</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r>
              <w:tc>
                <w:tcPr>
                  <w:tcW w:type="dxa" w:w="498"/>
                  <w:tcBorders>
                    <w:top w:val="none" w:color="000000" w:sz="4"/>
                    <w:left w:val="single" w:color="000000" w:sz="4"/>
                    <w:bottom w:val="single" w:color="000000" w:sz="4"/>
                    <w:right w:val="single" w:color="000000" w:sz="4"/>
                  </w:tcBorders>
                </w:tcPr>
                <w:p>
                  <w:pPr>
                    <w:jc w:val="center"/>
                  </w:pPr>
                  <w:r>
                    <w:rPr>
                      <w:color w:val="000000"/>
                      <w:sz w:val="24"/>
                    </w:rPr>
                    <w:t>3</w:t>
                  </w:r>
                </w:p>
              </w:tc>
              <w:tc>
                <w:tcPr>
                  <w:tcW w:type="dxa" w:w="938"/>
                  <w:vMerge/>
                  <w:tcBorders>
                    <w:top w:val="none" w:color="000000" w:sz="4"/>
                    <w:left w:val="none" w:color="000000" w:sz="4"/>
                    <w:bottom w:val="single" w:color="000000" w:sz="4"/>
                    <w:right w:val="single" w:color="000000" w:sz="4"/>
                  </w:tcBorders>
                </w:tcPr>
                <w:p/>
              </w:tc>
              <w:tc>
                <w:tcPr>
                  <w:tcW w:type="dxa" w:w="4025"/>
                  <w:tcBorders>
                    <w:top w:val="none" w:color="000000" w:sz="4"/>
                    <w:left w:val="none" w:color="000000" w:sz="4"/>
                    <w:bottom w:val="single" w:color="000000" w:sz="4"/>
                    <w:right w:val="single" w:color="000000" w:sz="4"/>
                  </w:tcBorders>
                </w:tcPr>
                <w:p>
                  <w:pPr>
                    <w:jc w:val="left"/>
                  </w:pPr>
                  <w:r>
                    <w:rPr>
                      <w:color w:val="000000"/>
                      <w:sz w:val="24"/>
                    </w:rPr>
                    <w:t>广东省重点车管理系统</w:t>
                  </w:r>
                </w:p>
              </w:tc>
              <w:tc>
                <w:tcPr>
                  <w:tcW w:type="dxa" w:w="494"/>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94"/>
                  <w:tcBorders>
                    <w:top w:val="none" w:color="000000" w:sz="4"/>
                    <w:left w:val="none" w:color="000000" w:sz="4"/>
                    <w:bottom w:val="single" w:color="000000" w:sz="4"/>
                    <w:right w:val="single" w:color="000000" w:sz="4"/>
                  </w:tcBorders>
                  <w:shd w:fill="FFFFFF"/>
                </w:tcPr>
                <w:p>
                  <w:pPr>
                    <w:jc w:val="center"/>
                  </w:pPr>
                  <w:r>
                    <w:rPr>
                      <w:color w:val="000000"/>
                      <w:sz w:val="24"/>
                    </w:rPr>
                    <w:t>项</w:t>
                  </w:r>
                </w:p>
              </w:tc>
              <w:tc>
                <w:tcPr>
                  <w:tcW w:type="dxa" w:w="541"/>
                  <w:tcBorders>
                    <w:top w:val="none" w:color="000000" w:sz="4"/>
                    <w:left w:val="none" w:color="000000" w:sz="4"/>
                    <w:bottom w:val="single" w:color="000000" w:sz="4"/>
                    <w:right w:val="single" w:color="000000" w:sz="4"/>
                  </w:tcBorders>
                </w:tcPr>
                <w:p>
                  <w:pPr>
                    <w:jc w:val="left"/>
                  </w:pPr>
                  <w:r>
                    <w:rPr>
                      <w:sz w:val="21"/>
                    </w:rPr>
                    <w:t>　</w:t>
                  </w:r>
                </w:p>
              </w:tc>
            </w:tr>
          </w:tbl>
          <w:p>
            <w:r>
              <w:rPr/>
              <w:t xml:space="preserve"> </w:t>
            </w:r>
          </w:p>
          <w:p>
            <w:pPr>
              <w:jc w:val="both"/>
            </w:pPr>
            <w:r>
              <w:rPr>
                <w:b/>
                <w:color w:val="000000"/>
                <w:sz w:val="24"/>
              </w:rPr>
              <w:t>2.</w:t>
            </w:r>
            <w:r>
              <w:rPr>
                <w:b/>
                <w:color w:val="000000"/>
                <w:sz w:val="24"/>
              </w:rPr>
              <w:t>信息基础设施建设清单</w:t>
            </w:r>
          </w:p>
          <w:tbl>
            <w:tblGrid>
              <w:gridCol w:w="399"/>
              <w:gridCol w:w="751"/>
              <w:gridCol w:w="3242"/>
              <w:gridCol w:w="406"/>
              <w:gridCol w:w="399"/>
              <w:gridCol w:w="399"/>
            </w:tblGrid>
            <w:tr>
              <w:tc>
                <w:tcPr>
                  <w:tcW w:type="dxa" w:w="399"/>
                  <w:tcBorders>
                    <w:top w:val="single" w:color="000000" w:sz="4"/>
                    <w:left w:val="single" w:color="000000" w:sz="4"/>
                    <w:bottom w:val="single" w:color="000000" w:sz="4"/>
                    <w:right w:val="single" w:color="000000" w:sz="4"/>
                  </w:tcBorders>
                </w:tcPr>
                <w:p>
                  <w:pPr>
                    <w:jc w:val="center"/>
                  </w:pPr>
                  <w:r>
                    <w:rPr>
                      <w:b/>
                      <w:color w:val="000000"/>
                      <w:sz w:val="24"/>
                    </w:rPr>
                    <w:t>序号</w:t>
                  </w:r>
                </w:p>
              </w:tc>
              <w:tc>
                <w:tcPr>
                  <w:tcW w:type="dxa" w:w="751"/>
                  <w:tcBorders>
                    <w:top w:val="single" w:color="000000" w:sz="4"/>
                    <w:left w:val="none" w:color="000000" w:sz="4"/>
                    <w:bottom w:val="single" w:color="000000" w:sz="4"/>
                    <w:right w:val="single" w:color="000000" w:sz="4"/>
                  </w:tcBorders>
                </w:tcPr>
                <w:p>
                  <w:pPr>
                    <w:jc w:val="center"/>
                  </w:pPr>
                  <w:r>
                    <w:rPr>
                      <w:b/>
                      <w:color w:val="000000"/>
                      <w:sz w:val="24"/>
                    </w:rPr>
                    <w:t>设备名称</w:t>
                  </w:r>
                </w:p>
              </w:tc>
              <w:tc>
                <w:tcPr>
                  <w:tcW w:type="dxa" w:w="3242"/>
                  <w:tcBorders>
                    <w:top w:val="single" w:color="000000" w:sz="4"/>
                    <w:left w:val="none" w:color="000000" w:sz="4"/>
                    <w:bottom w:val="single" w:color="000000" w:sz="4"/>
                    <w:right w:val="single" w:color="000000" w:sz="4"/>
                  </w:tcBorders>
                </w:tcPr>
                <w:p>
                  <w:pPr>
                    <w:jc w:val="center"/>
                  </w:pPr>
                  <w:r>
                    <w:rPr>
                      <w:b/>
                      <w:color w:val="000000"/>
                      <w:sz w:val="24"/>
                    </w:rPr>
                    <w:t>技术参数</w:t>
                  </w:r>
                </w:p>
              </w:tc>
              <w:tc>
                <w:tcPr>
                  <w:tcW w:type="dxa" w:w="406"/>
                  <w:tcBorders>
                    <w:top w:val="single" w:color="000000" w:sz="4"/>
                    <w:left w:val="none" w:color="000000" w:sz="4"/>
                    <w:bottom w:val="single" w:color="000000" w:sz="4"/>
                    <w:right w:val="single" w:color="000000" w:sz="4"/>
                  </w:tcBorders>
                </w:tcPr>
                <w:p>
                  <w:pPr>
                    <w:jc w:val="center"/>
                  </w:pPr>
                  <w:r>
                    <w:rPr>
                      <w:b/>
                      <w:color w:val="000000"/>
                      <w:sz w:val="24"/>
                    </w:rPr>
                    <w:t>单位</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数量</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备注</w:t>
                  </w:r>
                </w:p>
              </w:tc>
            </w:tr>
            <w:tr>
              <w:tc>
                <w:tcPr>
                  <w:tcW w:type="dxa" w:w="5596"/>
                  <w:gridSpan w:val="6"/>
                  <w:tcBorders>
                    <w:top w:val="none" w:color="000000" w:sz="4"/>
                    <w:left w:val="single" w:color="000000" w:sz="4"/>
                    <w:bottom w:val="single" w:color="000000" w:sz="4"/>
                    <w:right w:val="single" w:color="000000" w:sz="4"/>
                  </w:tcBorders>
                </w:tcPr>
                <w:p>
                  <w:pPr>
                    <w:jc w:val="left"/>
                  </w:pPr>
                  <w:r>
                    <w:rPr>
                      <w:b/>
                      <w:color w:val="000000"/>
                      <w:sz w:val="24"/>
                    </w:rPr>
                    <w:t>1.</w:t>
                  </w:r>
                  <w:r>
                    <w:rPr>
                      <w:b/>
                      <w:color w:val="000000"/>
                      <w:sz w:val="24"/>
                    </w:rPr>
                    <w:t>道路车辆智能监测部分（卡口）</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2</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SD</w:t>
                  </w:r>
                  <w:r>
                    <w:rPr>
                      <w:color w:val="000000"/>
                      <w:sz w:val="24"/>
                    </w:rPr>
                    <w:t>存储卡</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TLC</w:t>
                  </w:r>
                  <w:r>
                    <w:rPr>
                      <w:color w:val="000000"/>
                      <w:sz w:val="24"/>
                    </w:rPr>
                    <w:t>晶元，擦写次数≥500次；标称容量≥32GB</w:t>
                  </w:r>
                  <w:r>
                    <w:br/>
                  </w:r>
                  <w:r>
                    <w:rPr>
                      <w:color w:val="000000"/>
                      <w:sz w:val="24"/>
                    </w:rPr>
                    <w:t>Class10（读98MB/s，写20MB/s）;</w:t>
                  </w:r>
                  <w:r>
                    <w:br/>
                  </w:r>
                  <w:r>
                    <w:rPr>
                      <w:color w:val="000000"/>
                      <w:sz w:val="24"/>
                    </w:rPr>
                    <w:t>尺寸不大于0.59” x 0.43” x 0.04”;</w:t>
                  </w:r>
                  <w:r>
                    <w:br/>
                  </w:r>
                  <w:r>
                    <w:rPr>
                      <w:color w:val="000000"/>
                      <w:sz w:val="24"/>
                    </w:rPr>
                    <w:t>存储温度：-25 ℃～85 ℃</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个</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6</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4</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校时报警器</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支持GPS信号关闭后RTC自授时功能；支持远程网络登录，管理，配置和维护功能；支持GPS/北斗定位功能；支持市电断电检测功能；支持震动防盗检测功能，同时支持联动前端摄像机抓拍图片功能；支持远程控制电源通断功能；≥1路10M/100M以太网RJ45接口；用户容量≥10000个；NTP请求量≥2000次/秒；用户终端同步授时精度：1～10ms；工作环境：-40℃～+80℃；功耗：＜2W</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5</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抱杆智能机箱</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1</w:t>
                  </w:r>
                  <w:r>
                    <w:rPr>
                      <w:color w:val="000000"/>
                      <w:sz w:val="24"/>
                    </w:rPr>
                    <w:t>、采用模块化结构，箱体镀锌喷塑材料制作，厚度为 1.2mm，背部或底部进线、可支架或抱箍安装，箱体尺寸≥520*420*200mm；</w:t>
                  </w:r>
                  <w:r>
                    <w:br/>
                  </w:r>
                  <w:r>
                    <w:rPr>
                      <w:color w:val="000000"/>
                      <w:sz w:val="24"/>
                    </w:rPr>
                    <w:t>2、满足防腐，防潮，防尘要求；</w:t>
                  </w:r>
                  <w:r>
                    <w:br/>
                  </w:r>
                  <w:r>
                    <w:rPr>
                      <w:color w:val="000000"/>
                      <w:sz w:val="24"/>
                    </w:rPr>
                    <w:t>3、单相自动重合闸：额定电压：AC220V，额定电流：10A，合闸前具有自动检测功能；</w:t>
                  </w:r>
                  <w:r>
                    <w:br/>
                  </w:r>
                  <w:r>
                    <w:rPr>
                      <w:color w:val="000000"/>
                      <w:sz w:val="24"/>
                    </w:rPr>
                    <w:t>4、电源防雷模块：最大通流量：40KA，工作电压：220VAC；</w:t>
                  </w:r>
                  <w:r>
                    <w:br/>
                  </w:r>
                  <w:r>
                    <w:rPr>
                      <w:color w:val="000000"/>
                      <w:sz w:val="24"/>
                    </w:rPr>
                    <w:t>5、内置光纤熔接盒</w:t>
                  </w:r>
                  <w:r>
                    <w:br/>
                  </w:r>
                  <w:r>
                    <w:rPr>
                      <w:color w:val="000000"/>
                      <w:sz w:val="24"/>
                    </w:rPr>
                    <w:t>6、网口防雷：IEC61000-4-5：1.2/50</w:t>
                  </w:r>
                  <w:r>
                    <w:rPr>
                      <w:color w:val="000000"/>
                      <w:sz w:val="24"/>
                    </w:rPr>
                    <w:t>μ</w:t>
                  </w:r>
                  <w:r>
                    <w:rPr>
                      <w:color w:val="000000"/>
                      <w:sz w:val="24"/>
                    </w:rPr>
                    <w:t>s 3KV,ITU-TK21</w:t>
                  </w:r>
                  <w:r>
                    <w:rPr>
                      <w:color w:val="000000"/>
                      <w:sz w:val="24"/>
                    </w:rPr>
                    <w:t>：10/700</w:t>
                  </w:r>
                  <w:r>
                    <w:rPr>
                      <w:color w:val="000000"/>
                      <w:sz w:val="24"/>
                    </w:rPr>
                    <w:t>μ</w:t>
                  </w:r>
                  <w:r>
                    <w:rPr>
                      <w:color w:val="000000"/>
                      <w:sz w:val="24"/>
                    </w:rPr>
                    <w:t>s 6KV</w:t>
                  </w:r>
                  <w:r>
                    <w:rPr>
                      <w:color w:val="000000"/>
                      <w:sz w:val="24"/>
                    </w:rPr>
                    <w:t>；</w:t>
                  </w:r>
                  <w:r>
                    <w:br/>
                  </w:r>
                  <w:r>
                    <w:rPr>
                      <w:color w:val="000000"/>
                      <w:sz w:val="24"/>
                    </w:rPr>
                    <w:t xml:space="preserve">7、电源：3组AC220V输出电源；可供补光灯、ONU等设备供电； </w:t>
                  </w:r>
                  <w:r>
                    <w:br/>
                  </w:r>
                  <w:r>
                    <w:rPr>
                      <w:color w:val="000000"/>
                      <w:sz w:val="24"/>
                    </w:rPr>
                    <w:t>8、工作温度：-40℃-85℃ ；</w:t>
                  </w:r>
                  <w:r>
                    <w:br/>
                  </w:r>
                  <w:r>
                    <w:rPr>
                      <w:color w:val="000000"/>
                      <w:sz w:val="24"/>
                    </w:rPr>
                    <w:t>9、支持软件平台远程管理功能</w:t>
                  </w:r>
                  <w:r>
                    <w:br/>
                  </w:r>
                  <w:r>
                    <w:rPr>
                      <w:color w:val="000000"/>
                      <w:sz w:val="24"/>
                    </w:rPr>
                    <w:t>10、传输箱应由强电单元板卡、光纤熔接单元、传输板卡和电源控制板卡组成，箱内有LED照明灯和温控风扇。</w:t>
                  </w:r>
                  <w:r>
                    <w:br/>
                  </w:r>
                  <w:r>
                    <w:rPr>
                      <w:color w:val="000000"/>
                      <w:sz w:val="24"/>
                    </w:rPr>
                    <w:t>11、具备1个外循环智能控制12V风扇散热系统。当温度高于设定值时，风扇开启散热箱体配置智能除尘风扇，具备2个智能除尘风扇。；</w:t>
                  </w:r>
                  <w:r>
                    <w:br/>
                  </w:r>
                  <w:r>
                    <w:rPr>
                      <w:color w:val="000000"/>
                      <w:sz w:val="24"/>
                    </w:rPr>
                    <w:t>12、状态信息显示功能：可通过管理软件实时显示设备温度、输入输出电压、网络是否断开、箱门是否开启、风扇是否开启和光纤是否断开等参数；</w:t>
                  </w:r>
                  <w:r>
                    <w:br/>
                  </w:r>
                  <w:r>
                    <w:rPr>
                      <w:color w:val="000000"/>
                      <w:sz w:val="24"/>
                    </w:rPr>
                    <w:t>13、监测功能：可通过管理软件实时监测数字传输箱是否断网或者断电；</w:t>
                  </w:r>
                  <w:r>
                    <w:br/>
                  </w:r>
                  <w:r>
                    <w:rPr>
                      <w:color w:val="000000"/>
                      <w:sz w:val="24"/>
                    </w:rPr>
                    <w:t xml:space="preserve">14、照明灯功能：打开数字传输箱箱门，照明灯应自动开启并在管理软件弹出界面提示； </w:t>
                  </w:r>
                  <w:r>
                    <w:br/>
                  </w:r>
                  <w:r>
                    <w:rPr>
                      <w:color w:val="000000"/>
                      <w:sz w:val="24"/>
                    </w:rPr>
                    <w:t>15、报警功能：当数字传输箱内温度过高、输入输出电压异常、断网、IP 冲突、光纤断开、风扇开启、箱门打开的情况下，可通过管理软件以短信或语音和弹出界面方式进行报警提示；</w:t>
                  </w:r>
                  <w:r>
                    <w:br/>
                  </w:r>
                  <w:r>
                    <w:rPr>
                      <w:color w:val="000000"/>
                      <w:sz w:val="24"/>
                    </w:rPr>
                    <w:t>16、用户权限管理功能：管理软件应具有管理人员、操作人员两种登录用户、每种用户应具有不同的操作管理权限；</w:t>
                  </w:r>
                  <w:r>
                    <w:br/>
                  </w:r>
                  <w:r>
                    <w:rPr>
                      <w:color w:val="000000"/>
                      <w:sz w:val="24"/>
                    </w:rPr>
                    <w:t>17、日志管理功能：系统应具备日志记录功能，可记录系统内的操作记录和报警记录，并可按照时间和事件类别进行查询；</w:t>
                  </w:r>
                  <w:r>
                    <w:br/>
                  </w:r>
                  <w:r>
                    <w:rPr>
                      <w:color w:val="000000"/>
                      <w:sz w:val="24"/>
                    </w:rPr>
                    <w:t>18、具备监测倾斜、碰撞功能，当箱体倾斜或者被撞击时，后台会提出报警。</w:t>
                  </w:r>
                  <w:r>
                    <w:br/>
                  </w:r>
                  <w:r>
                    <w:rPr>
                      <w:color w:val="000000"/>
                      <w:sz w:val="24"/>
                    </w:rPr>
                    <w:t>19、具备箱体漏水检测功能，当箱体内漏水时，后台会提出报警。</w:t>
                  </w:r>
                  <w:r>
                    <w:br/>
                  </w:r>
                  <w:r>
                    <w:rPr>
                      <w:color w:val="000000"/>
                      <w:sz w:val="24"/>
                    </w:rPr>
                    <w:t>20、支持市电输入电压实时监测，断电报警，重合闸跳闸上报，远程断电、通电、重启功能，具有漏电保护功能。</w:t>
                  </w:r>
                  <w:r>
                    <w:br/>
                  </w:r>
                  <w:r>
                    <w:rPr>
                      <w:color w:val="000000"/>
                      <w:sz w:val="24"/>
                    </w:rPr>
                    <w:t>21、支持防雷器状态监测，异常报警。</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6</w:t>
                  </w:r>
                </w:p>
              </w:tc>
              <w:tc>
                <w:tcPr>
                  <w:tcW w:type="dxa" w:w="751"/>
                  <w:vMerge w:val="restart"/>
                  <w:tcBorders>
                    <w:top w:val="none" w:color="000000" w:sz="4"/>
                    <w:left w:val="none" w:color="000000" w:sz="4"/>
                    <w:bottom w:val="single" w:color="000000" w:sz="4"/>
                    <w:right w:val="single" w:color="000000" w:sz="4"/>
                  </w:tcBorders>
                </w:tcPr>
                <w:p>
                  <w:pPr>
                    <w:jc w:val="center"/>
                  </w:pPr>
                  <w:r>
                    <w:rPr>
                      <w:color w:val="000000"/>
                      <w:sz w:val="24"/>
                    </w:rPr>
                    <w:t>L</w:t>
                  </w:r>
                  <w:r>
                    <w:rPr>
                      <w:color w:val="000000"/>
                      <w:sz w:val="24"/>
                    </w:rPr>
                    <w:t>型杆件</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定制，材质选用：Q235或更优的材质，八角杆件；立杆高6.5m，横臂长8米。杆件采用整体热镀锌后喷塑处理，镀锌符GB/T13912-92标准，杆件颜色要求（可根据业主要求设计）:上白下蓝，距地2m为蓝色，其余为白色</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7</w:t>
                  </w:r>
                </w:p>
              </w:tc>
              <w:tc>
                <w:tcPr>
                  <w:tcW w:type="dxa" w:w="751"/>
                  <w:vMerge/>
                  <w:tcBorders>
                    <w:top w:val="none" w:color="000000" w:sz="4"/>
                    <w:left w:val="none" w:color="000000" w:sz="4"/>
                    <w:bottom w:val="single" w:color="000000" w:sz="4"/>
                    <w:right w:val="single" w:color="000000" w:sz="4"/>
                  </w:tcBorders>
                </w:tcPr>
                <w:p/>
              </w:tc>
              <w:tc>
                <w:tcPr>
                  <w:tcW w:type="dxa" w:w="3242"/>
                  <w:tcBorders>
                    <w:top w:val="none" w:color="000000" w:sz="4"/>
                    <w:left w:val="none" w:color="000000" w:sz="4"/>
                    <w:bottom w:val="single" w:color="000000" w:sz="4"/>
                    <w:right w:val="single" w:color="000000" w:sz="4"/>
                  </w:tcBorders>
                </w:tcPr>
                <w:p>
                  <w:pPr>
                    <w:jc w:val="left"/>
                  </w:pPr>
                  <w:r>
                    <w:rPr>
                      <w:color w:val="000000"/>
                      <w:sz w:val="24"/>
                    </w:rPr>
                    <w:t>定制，材质选用：Q235或更优的材质，八角杆件；立杆高6.5m，横臂长13米。杆件采用整体热镀锌后喷塑处理，镀锌符GB/T13912-92标准，杆件颜色要求（可根据业主要求设计）:上白下蓝，距地2m为蓝色，其余为白色</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8</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设备支架</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卡口设备配套固定支架</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9</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电源线</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标准不低于：RVV3×1.0,国标电缆</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260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10</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触发线</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标准不低于：RVVP2×1.0,国标线缆</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140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11</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室外网线</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标准不低于：UTP-5e，国标室外线缆</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120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12</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接地线</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使用软铜绞线BLV，其截面≥6mm2。</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13</w:t>
                  </w:r>
                </w:p>
              </w:tc>
              <w:tc>
                <w:tcPr>
                  <w:tcW w:type="dxa" w:w="751"/>
                  <w:vMerge w:val="restart"/>
                  <w:tcBorders>
                    <w:top w:val="none" w:color="000000" w:sz="4"/>
                    <w:left w:val="none" w:color="000000" w:sz="4"/>
                    <w:bottom w:val="single" w:color="000000" w:sz="4"/>
                    <w:right w:val="single" w:color="000000" w:sz="4"/>
                  </w:tcBorders>
                </w:tcPr>
                <w:p>
                  <w:pPr>
                    <w:jc w:val="center"/>
                  </w:pPr>
                  <w:r>
                    <w:rPr>
                      <w:color w:val="000000"/>
                      <w:sz w:val="24"/>
                    </w:rPr>
                    <w:t>L</w:t>
                  </w:r>
                  <w:r>
                    <w:rPr>
                      <w:color w:val="000000"/>
                      <w:sz w:val="24"/>
                    </w:rPr>
                    <w:t>型杆件基础</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基础土方挖填、渣土外运、基础浇筑或砌筑；基础材料品种、强度≥C25砼；基础尺寸≥：1200mm*1500mm*1500mm（高），含预埋铁件制作安装</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14</w:t>
                  </w:r>
                </w:p>
              </w:tc>
              <w:tc>
                <w:tcPr>
                  <w:tcW w:type="dxa" w:w="751"/>
                  <w:vMerge/>
                  <w:tcBorders>
                    <w:top w:val="none" w:color="000000" w:sz="4"/>
                    <w:left w:val="none" w:color="000000" w:sz="4"/>
                    <w:bottom w:val="single" w:color="000000" w:sz="4"/>
                    <w:right w:val="single" w:color="000000" w:sz="4"/>
                  </w:tcBorders>
                </w:tcPr>
                <w:p/>
              </w:tc>
              <w:tc>
                <w:tcPr>
                  <w:tcW w:type="dxa" w:w="3242"/>
                  <w:tcBorders>
                    <w:top w:val="none" w:color="000000" w:sz="4"/>
                    <w:left w:val="none" w:color="000000" w:sz="4"/>
                    <w:bottom w:val="single" w:color="000000" w:sz="4"/>
                    <w:right w:val="single" w:color="000000" w:sz="4"/>
                  </w:tcBorders>
                </w:tcPr>
                <w:p>
                  <w:pPr>
                    <w:jc w:val="left"/>
                  </w:pPr>
                  <w:r>
                    <w:rPr>
                      <w:color w:val="000000"/>
                      <w:sz w:val="24"/>
                    </w:rPr>
                    <w:t>基础土方挖填、渣土外运、基础浇筑或砌筑；基础材料品种、强度标准不低于:C25砼；基础尺寸≥：1500mm*1500mm*1800mm（高），含预埋铁件制作安装</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15</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接地体制作及安装</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接地极采用≥1根热镀锌角钢规格≥ 50×50×5(L=1500mm)，用规格≥50×5 热镀锌扁钢将接地极与砼基础配筋网及杆地脚螺栓在地下部分全部焊接连成一电气整体，接地电阻应≤10Ω</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16</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窨井</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定制，面积≥0.15m2，深度≥500mm</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座</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17</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附件</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安装紧固件、螺母、垫片等配件</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18</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管道及敷设</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规格≥Ø50mm，高强度PE管，定制开挖，路面恢复，桥梁采取镀锌钢管沿桥固定方式。</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600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19</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配电箱</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电源接驳点处配电箱，含电表、空开等。</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20</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电源线</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标准不低于：ZR-YJV22-3×2.5mm²，国标线缆；电源接驳点至设备机箱之间电源线缆</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600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5197"/>
                  <w:gridSpan w:val="5"/>
                  <w:tcBorders>
                    <w:top w:val="none" w:color="000000" w:sz="4"/>
                    <w:left w:val="single" w:color="000000" w:sz="4"/>
                    <w:bottom w:val="single" w:color="000000" w:sz="4"/>
                    <w:right w:val="single" w:color="000000" w:sz="4"/>
                  </w:tcBorders>
                </w:tcPr>
                <w:p>
                  <w:pPr>
                    <w:jc w:val="center"/>
                  </w:pPr>
                  <w:r>
                    <w:rPr>
                      <w:b/>
                      <w:color w:val="000000"/>
                      <w:sz w:val="24"/>
                    </w:rPr>
                    <w:t>小计1</w:t>
                  </w:r>
                </w:p>
              </w:tc>
              <w:tc>
                <w:tcPr>
                  <w:tcW w:type="dxa" w:w="399"/>
                  <w:tcBorders>
                    <w:top w:val="none" w:color="000000" w:sz="4"/>
                    <w:left w:val="none" w:color="000000" w:sz="4"/>
                    <w:bottom w:val="single" w:color="000000" w:sz="4"/>
                    <w:right w:val="single" w:color="000000" w:sz="4"/>
                  </w:tcBorders>
                </w:tcPr>
                <w:p>
                  <w:pPr>
                    <w:jc w:val="left"/>
                  </w:pPr>
                  <w:r>
                    <w:rPr>
                      <w:b/>
                      <w:sz w:val="21"/>
                    </w:rPr>
                    <w:t>　</w:t>
                  </w:r>
                </w:p>
              </w:tc>
            </w:tr>
            <w:tr>
              <w:tc>
                <w:tcPr>
                  <w:tcW w:type="dxa" w:w="5596"/>
                  <w:gridSpan w:val="6"/>
                  <w:tcBorders>
                    <w:top w:val="none" w:color="000000" w:sz="4"/>
                    <w:left w:val="single" w:color="000000" w:sz="4"/>
                    <w:bottom w:val="single" w:color="000000" w:sz="4"/>
                    <w:right w:val="single" w:color="000000" w:sz="4"/>
                  </w:tcBorders>
                </w:tcPr>
                <w:p>
                  <w:pPr>
                    <w:jc w:val="left"/>
                  </w:pPr>
                  <w:r>
                    <w:rPr>
                      <w:b/>
                      <w:color w:val="000000"/>
                      <w:sz w:val="24"/>
                    </w:rPr>
                    <w:t>2.</w:t>
                  </w:r>
                  <w:r>
                    <w:rPr>
                      <w:b/>
                      <w:color w:val="000000"/>
                      <w:sz w:val="24"/>
                    </w:rPr>
                    <w:t>交通信息发布</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w:t>
                  </w:r>
                </w:p>
              </w:tc>
              <w:tc>
                <w:tcPr>
                  <w:tcW w:type="dxa" w:w="751"/>
                  <w:vMerge w:val="restart"/>
                  <w:tcBorders>
                    <w:top w:val="none" w:color="000000" w:sz="4"/>
                    <w:left w:val="none" w:color="000000" w:sz="4"/>
                    <w:bottom w:val="single" w:color="000000" w:sz="4"/>
                    <w:right w:val="single" w:color="000000" w:sz="4"/>
                  </w:tcBorders>
                </w:tcPr>
                <w:p>
                  <w:pPr>
                    <w:jc w:val="center"/>
                  </w:pPr>
                  <w:r>
                    <w:rPr>
                      <w:color w:val="000000"/>
                      <w:sz w:val="24"/>
                    </w:rPr>
                    <w:t>LED</w:t>
                  </w:r>
                  <w:r>
                    <w:rPr>
                      <w:color w:val="000000"/>
                      <w:sz w:val="24"/>
                    </w:rPr>
                    <w:t>信息发布屏</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1.</w:t>
                  </w:r>
                  <w:r>
                    <w:rPr>
                      <w:color w:val="000000"/>
                      <w:sz w:val="24"/>
                    </w:rPr>
                    <w:t>有效显示屏尺寸（长×高）≥3.072m×2.048m，点阵≤192×128。包括不少于6个模块，每个模块显示面积均为1.024m×1.024m，点阵64*64，每个像素由546直插1红（≤630nm）、1绿（≤525nm）、1蓝（≤470nm）配比；</w:t>
                  </w:r>
                  <w:r>
                    <w:br/>
                  </w:r>
                  <w:r>
                    <w:rPr>
                      <w:color w:val="000000"/>
                      <w:sz w:val="24"/>
                    </w:rPr>
                    <w:t>2.显示板每平米亮度≥8000cd。</w:t>
                  </w:r>
                  <w:r>
                    <w:br/>
                  </w:r>
                  <w:r>
                    <w:rPr>
                      <w:color w:val="000000"/>
                      <w:sz w:val="24"/>
                    </w:rPr>
                    <w:t>3.显示屏上的字符或图案的结构尺寸应符合国家相关规范要求，支持单屏多区域显示，支持节目定时播放。</w:t>
                  </w:r>
                  <w:r>
                    <w:br/>
                  </w:r>
                  <w:r>
                    <w:rPr>
                      <w:color w:val="000000"/>
                      <w:sz w:val="24"/>
                    </w:rPr>
                    <w:t>4.设备平均无故障时间≥10000小时。</w:t>
                  </w:r>
                  <w:r>
                    <w:br/>
                  </w:r>
                  <w:r>
                    <w:rPr>
                      <w:color w:val="000000"/>
                      <w:sz w:val="24"/>
                    </w:rPr>
                    <w:t>5.显示屏亮度可根据外界环境条件自动和手动调节，至少六级以上。</w:t>
                  </w:r>
                  <w:r>
                    <w:br/>
                  </w:r>
                  <w:r>
                    <w:rPr>
                      <w:color w:val="000000"/>
                      <w:sz w:val="24"/>
                    </w:rPr>
                    <w:t>6.可变信息标志的静态视认距离不小于250米，动可变情报板态视认距离不小于210米。每屏刷新频率不小于100Hz，在汽车高速行驶时，标志的内容应清晰、稳定。</w:t>
                  </w:r>
                  <w:r>
                    <w:br/>
                  </w:r>
                  <w:r>
                    <w:rPr>
                      <w:color w:val="000000"/>
                      <w:sz w:val="24"/>
                    </w:rPr>
                    <w:t>7.环境温度：≥（ -10℃，+60℃）。</w:t>
                  </w:r>
                  <w:r>
                    <w:br/>
                  </w:r>
                  <w:r>
                    <w:rPr>
                      <w:color w:val="000000"/>
                      <w:sz w:val="24"/>
                    </w:rPr>
                    <w:t>8.相对湿度： 小于95%无冷凝。</w:t>
                  </w:r>
                  <w:r>
                    <w:br/>
                  </w:r>
                  <w:r>
                    <w:rPr>
                      <w:color w:val="000000"/>
                      <w:sz w:val="24"/>
                    </w:rPr>
                    <w:t>9.电源AC380V±15%/AC220V±10%，50Hz±2Hz。采用三相电源接入时，线径不小于10mm²。</w:t>
                  </w:r>
                  <w:r>
                    <w:br/>
                  </w:r>
                  <w:r>
                    <w:rPr>
                      <w:color w:val="000000"/>
                      <w:sz w:val="24"/>
                    </w:rPr>
                    <w:t>10.能接收监控分中心计算机发来的显示数据，校验有效性和精确性，并向计算机发送确认信息；</w:t>
                  </w:r>
                  <w:r>
                    <w:br/>
                  </w:r>
                  <w:r>
                    <w:rPr>
                      <w:color w:val="000000"/>
                      <w:sz w:val="24"/>
                    </w:rPr>
                    <w:t>11.进行日常自检，以监视可变信息标志的显示单元、驱动器模块以及温湿度等，并将报警信息传送到监控分中心计算机；</w:t>
                  </w:r>
                  <w:r>
                    <w:br/>
                  </w:r>
                  <w:r>
                    <w:rPr>
                      <w:color w:val="000000"/>
                      <w:sz w:val="24"/>
                    </w:rPr>
                    <w:t>12.监视每个显示单元的工作状态，应将显示屏关闭，并向监控计算机发出故障信息；</w:t>
                  </w:r>
                  <w:r>
                    <w:br/>
                  </w:r>
                  <w:r>
                    <w:rPr>
                      <w:color w:val="000000"/>
                      <w:sz w:val="24"/>
                    </w:rPr>
                    <w:t>13.具有防雷设计，配置浪涌保护器。</w:t>
                  </w:r>
                  <w:r>
                    <w:br/>
                  </w:r>
                  <w:r>
                    <w:rPr>
                      <w:color w:val="000000"/>
                      <w:sz w:val="24"/>
                    </w:rPr>
                    <w:t>14.箱体须具有防腐、防锈、防水、防尘的功能，防护等级：IP56。</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2</w:t>
                  </w:r>
                </w:p>
              </w:tc>
              <w:tc>
                <w:tcPr>
                  <w:tcW w:type="dxa" w:w="751"/>
                  <w:vMerge/>
                  <w:tcBorders>
                    <w:top w:val="none" w:color="000000" w:sz="4"/>
                    <w:left w:val="none" w:color="000000" w:sz="4"/>
                    <w:bottom w:val="single" w:color="000000" w:sz="4"/>
                    <w:right w:val="single" w:color="000000" w:sz="4"/>
                  </w:tcBorders>
                </w:tcPr>
                <w:p/>
              </w:tc>
              <w:tc>
                <w:tcPr>
                  <w:tcW w:type="dxa" w:w="3242"/>
                  <w:tcBorders>
                    <w:top w:val="none" w:color="000000" w:sz="4"/>
                    <w:left w:val="none" w:color="000000" w:sz="4"/>
                    <w:bottom w:val="single" w:color="000000" w:sz="4"/>
                    <w:right w:val="single" w:color="000000" w:sz="4"/>
                  </w:tcBorders>
                </w:tcPr>
                <w:p>
                  <w:pPr>
                    <w:jc w:val="left"/>
                  </w:pPr>
                  <w:r>
                    <w:rPr>
                      <w:color w:val="000000"/>
                      <w:sz w:val="24"/>
                    </w:rPr>
                    <w:t>1)</w:t>
                  </w:r>
                  <w:r>
                    <w:rPr>
                      <w:color w:val="000000"/>
                      <w:sz w:val="24"/>
                    </w:rPr>
                    <w:t>屏体尺寸≥W1920mm×H1280mm</w:t>
                  </w:r>
                  <w:r>
                    <w:br/>
                  </w:r>
                  <w:r>
                    <w:rPr>
                      <w:color w:val="000000"/>
                      <w:sz w:val="24"/>
                    </w:rPr>
                    <w:t xml:space="preserve">2) 像素间距≤16mm；像素密度≥3906 pixels/m²；像素结构：2R1G </w:t>
                  </w:r>
                  <w:r>
                    <w:br/>
                  </w:r>
                  <w:r>
                    <w:rPr>
                      <w:color w:val="000000"/>
                      <w:sz w:val="24"/>
                    </w:rPr>
                    <w:t>3) 保护电路:静态扫描方式</w:t>
                  </w:r>
                  <w:r>
                    <w:br/>
                  </w:r>
                  <w:r>
                    <w:rPr>
                      <w:color w:val="000000"/>
                      <w:sz w:val="24"/>
                    </w:rPr>
                    <w:t>4) 输入功率 (最大值) ：680W/m2</w:t>
                  </w:r>
                  <w:r>
                    <w:br/>
                  </w:r>
                  <w:r>
                    <w:rPr>
                      <w:color w:val="000000"/>
                      <w:sz w:val="24"/>
                    </w:rPr>
                    <w:t>5) 显示屏亮度 :≥7000CD/m2</w:t>
                  </w:r>
                  <w:r>
                    <w:br/>
                  </w:r>
                  <w:r>
                    <w:rPr>
                      <w:color w:val="000000"/>
                      <w:sz w:val="24"/>
                    </w:rPr>
                    <w:t>6) 采用优质管芯</w:t>
                  </w:r>
                  <w:r>
                    <w:br/>
                  </w:r>
                  <w:r>
                    <w:rPr>
                      <w:color w:val="000000"/>
                      <w:sz w:val="24"/>
                    </w:rPr>
                    <w:t>7）最大显示亮度≥10000cd/ m2</w:t>
                  </w:r>
                  <w:r>
                    <w:br/>
                  </w:r>
                  <w:r>
                    <w:rPr>
                      <w:color w:val="000000"/>
                      <w:sz w:val="24"/>
                    </w:rPr>
                    <w:t>8）亮度调节：软件调节100级可调</w:t>
                  </w:r>
                  <w:r>
                    <w:br/>
                  </w:r>
                  <w:r>
                    <w:rPr>
                      <w:color w:val="000000"/>
                      <w:sz w:val="24"/>
                    </w:rPr>
                    <w:t>9）防护等级：前后 IP65</w:t>
                  </w:r>
                  <w:r>
                    <w:br/>
                  </w:r>
                  <w:r>
                    <w:rPr>
                      <w:color w:val="000000"/>
                      <w:sz w:val="24"/>
                    </w:rPr>
                    <w:t>10）工作温湿度：-40℃ ～ +60℃</w:t>
                  </w:r>
                  <w:r>
                    <w:br/>
                  </w:r>
                  <w:r>
                    <w:rPr>
                      <w:color w:val="000000"/>
                      <w:sz w:val="24"/>
                    </w:rPr>
                    <w:t>11）存储温湿度：运行：-20℃~50℃；存储：-40℃~55℃；</w:t>
                  </w:r>
                  <w:r>
                    <w:br/>
                  </w:r>
                  <w:r>
                    <w:rPr>
                      <w:color w:val="000000"/>
                      <w:sz w:val="24"/>
                    </w:rPr>
                    <w:t>12）箱体结构：双层防水箱</w:t>
                  </w:r>
                  <w:r>
                    <w:br/>
                  </w:r>
                  <w:r>
                    <w:rPr>
                      <w:color w:val="000000"/>
                      <w:sz w:val="24"/>
                    </w:rPr>
                    <w:t>13）使用寿命：≥50,000 Hours</w:t>
                  </w:r>
                  <w:r>
                    <w:br/>
                  </w:r>
                  <w:r>
                    <w:rPr>
                      <w:color w:val="000000"/>
                      <w:sz w:val="24"/>
                    </w:rPr>
                    <w:t>14）平均无故障时间：≥3500小时</w:t>
                  </w:r>
                  <w:r>
                    <w:br/>
                  </w:r>
                  <w:r>
                    <w:rPr>
                      <w:color w:val="000000"/>
                      <w:sz w:val="24"/>
                    </w:rPr>
                    <w:t>15）显示屏均匀性：像素光强、模块亮度均匀</w:t>
                  </w:r>
                  <w:r>
                    <w:br/>
                  </w:r>
                  <w:r>
                    <w:rPr>
                      <w:color w:val="000000"/>
                      <w:sz w:val="24"/>
                    </w:rPr>
                    <w:t>16）保护电路：静态扫描方式(Dynamic  Scanning)</w:t>
                  </w:r>
                  <w:r>
                    <w:br/>
                  </w:r>
                  <w:r>
                    <w:rPr>
                      <w:color w:val="000000"/>
                      <w:sz w:val="24"/>
                    </w:rPr>
                    <w:t>17）电源开关：自动开关（MV-UL电源)；开关电源负荷：5V/40A  5V/60A。</w:t>
                  </w:r>
                </w:p>
              </w:tc>
              <w:tc>
                <w:tcPr>
                  <w:tcW w:type="dxa" w:w="406"/>
                  <w:tcBorders>
                    <w:top w:val="none" w:color="000000" w:sz="4"/>
                    <w:left w:val="none" w:color="000000" w:sz="4"/>
                    <w:bottom w:val="single" w:color="000000" w:sz="4"/>
                    <w:right w:val="single" w:color="000000" w:sz="4"/>
                  </w:tcBorders>
                </w:tcPr>
                <w:p>
                  <w:pPr>
                    <w:jc w:val="center"/>
                  </w:pPr>
                  <w:r>
                    <w:rPr>
                      <w:color w:val="000000"/>
                      <w:sz w:val="20"/>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3</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显示屏箱体</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箱体尺寸≥3.072m×2.048m密封、全防水箱体；箱体防护等级：IP65；箱体材料：镀锌冷轧钢板；箱体表面处理：喷塑</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4</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大屏控制系统</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控制方式：异步控制 U盘串口两用控制方式，支持WIN 98/ 2000/XP/win7/win10等操作系统，具有10/100M网口，支持远程管理、发布，同时配备完善的控制和功能软件，简单、方便</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5</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全彩屏控制系统</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支持130万像素带载；灰度等级≥65536级；采用1080P硬解码处理器/主频1.2GHz、1GB DRAM 4GByte FLASH；控制系统支持：分组集群管理/多节目编辑/多区域显示/多种语言版本；支持2个1080P或2个720P视频分区,支持4G/WiFi无线传输/温度/温湿度/噪声/亮度/液位仪多功能外设，支持宽电压工作模式；工作温度  -40℃～80℃</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6</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大屏智能配电箱</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1</w:t>
                  </w:r>
                  <w:r>
                    <w:rPr>
                      <w:color w:val="000000"/>
                      <w:sz w:val="24"/>
                    </w:rPr>
                    <w:t>、智能型成套配电柜：POWER-20kw 带PLC 6路开关，单路≥2.2KW，配电机柜总开关≥50A，单路开关≥32A，(低压成套开关设备)SPDS 主母线: InA=630A～100A,Icw≥20kA,Ue≥380V,Ui≥660V;50Hz;IP20</w:t>
                  </w:r>
                  <w:r>
                    <w:br/>
                  </w:r>
                  <w:r>
                    <w:rPr>
                      <w:color w:val="000000"/>
                      <w:sz w:val="24"/>
                    </w:rPr>
                    <w:t>2、PLC远程控制软件：支持远程开关机，智能分步上电和断电等功能。具有有短路、过流、过压等各种保护功能。</w:t>
                  </w:r>
                  <w:r>
                    <w:br/>
                  </w:r>
                  <w:r>
                    <w:rPr>
                      <w:color w:val="000000"/>
                      <w:sz w:val="24"/>
                    </w:rPr>
                    <w:t>需具有EMAIL推送，短信推送（可同时向五个移动终端推送报警信息），位置定位，电流比调节，高温报警（报警温度可任意设置），开门报警功能。</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7</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F</w:t>
                  </w:r>
                  <w:r>
                    <w:rPr>
                      <w:color w:val="000000"/>
                      <w:sz w:val="24"/>
                    </w:rPr>
                    <w:t>型杆件</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材质标准不低于：Q235,立杆直径≥402mm，厚底≥12mm；高度≥9米；底法兰：直径≥700mm;厚度≥30mm；屏框体≥200*150方管焊接，厚度≥5mm；检修平台≥50*30方管焊接，厚度≥3mm；护栏≥</w:t>
                  </w:r>
                  <w:r>
                    <w:rPr>
                      <w:color w:val="000000"/>
                      <w:sz w:val="24"/>
                    </w:rPr>
                    <w:t>φ</w:t>
                  </w:r>
                  <w:r>
                    <w:rPr>
                      <w:color w:val="000000"/>
                      <w:sz w:val="24"/>
                    </w:rPr>
                    <w:t>25*2.5mm</w:t>
                  </w:r>
                  <w:r>
                    <w:rPr>
                      <w:color w:val="000000"/>
                      <w:sz w:val="24"/>
                    </w:rPr>
                    <w:t>钢管焊接；表面热镀锌处理</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8</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单立柱</w:t>
                  </w:r>
                </w:p>
                <w:p>
                  <w:pPr>
                    <w:jc w:val="center"/>
                  </w:pPr>
                  <w:r>
                    <w:rPr>
                      <w:color w:val="000000"/>
                      <w:sz w:val="24"/>
                    </w:rPr>
                    <w:t>杆件</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材质标准不低于：Q235,立杆直径≥219mm，厚底≥6mm；高度≥2.5米；底法兰：直径≥550mm;厚度≥20mm；屏框对接法兰≥240*1300，厚度≥10mm；表面热镀锡处理；</w:t>
                  </w:r>
                </w:p>
              </w:tc>
              <w:tc>
                <w:tcPr>
                  <w:tcW w:type="dxa" w:w="406"/>
                  <w:tcBorders>
                    <w:top w:val="none" w:color="000000" w:sz="4"/>
                    <w:left w:val="none" w:color="000000" w:sz="4"/>
                    <w:bottom w:val="single" w:color="000000" w:sz="4"/>
                    <w:right w:val="single" w:color="000000" w:sz="4"/>
                  </w:tcBorders>
                </w:tcPr>
                <w:p>
                  <w:pPr>
                    <w:jc w:val="center"/>
                  </w:pPr>
                  <w:r>
                    <w:rPr>
                      <w:color w:val="000000"/>
                      <w:sz w:val="20"/>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9</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工业级交换机</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百兆电口≥5个；宽温工作（不低于-40℃～+85℃）；符合工业四级电磁兼容性要求；10/100M、半/全双工、MDI/MDI-X自适应；绿色工业以太网系列，无风扇，低功耗设计；多种可选电源电压输入；满足严苛电气环境可靠工作要求；电源监控告警输出；IP40防护等级，金属外壳；DIN卡轨式或壁挂式安装</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个</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10</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落地机柜</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尺寸≥960mm×550mm×480mm，符合IP65标准；采用落地式，具有良好的通风散热设计，防尘、防水、防盗，温控。全钢材质，壁厚≥1.5；含电源开关，含电源浪涌保护器：额定电压220V，标称通流容量（8/20uS）≥20kA，最大通流容量(8/20uS)≥40kA</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11</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大屏电源线</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标准不低于：RVV3×2.5,国标电缆</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120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12</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室外网线</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标准不低于：UTP-5e，国标室外线缆</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13</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接地线</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标准不低于：BV6，国标线缆</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14</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F</w:t>
                  </w:r>
                  <w:r>
                    <w:rPr>
                      <w:color w:val="000000"/>
                      <w:sz w:val="24"/>
                    </w:rPr>
                    <w:t>型杆件基础</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基础土方挖填、渣土外运、基础浇筑或砌筑；基础材料品种、强度≥C25砼；基础尺寸≥2000mm*2150mm*2200mm（高），含预埋铁件制作安装</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15</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单立柱杆件基础</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基础土方挖填、渣土外运、基础浇筑或砌筑；基础材料品种、强度≥C25砼；基础尺寸≥1200mm*1200mm*1500mm（高），含预埋铁件制作安装</w:t>
                  </w:r>
                </w:p>
              </w:tc>
              <w:tc>
                <w:tcPr>
                  <w:tcW w:type="dxa" w:w="406"/>
                  <w:tcBorders>
                    <w:top w:val="none" w:color="000000" w:sz="4"/>
                    <w:left w:val="none" w:color="000000" w:sz="4"/>
                    <w:bottom w:val="single" w:color="000000" w:sz="4"/>
                    <w:right w:val="single" w:color="000000" w:sz="4"/>
                  </w:tcBorders>
                </w:tcPr>
                <w:p>
                  <w:pPr>
                    <w:jc w:val="center"/>
                  </w:pPr>
                  <w:r>
                    <w:rPr>
                      <w:color w:val="000000"/>
                      <w:sz w:val="20"/>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16</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落地机柜基础</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基础土方挖填、渣土外运、基础浇筑或砌筑；基础材料品种、强度≥C25砼；基础尺寸≥600mm*600mm*600mm（高），含预埋铁件制作安装</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17</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窨井</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定制，面积≥0.15m2，深度≥500mm</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座</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18</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接地体制作及安装</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接地极采用≥1根热镀锌角钢 规格≥50×50×5(L=1500mm)，用 ≥50×5 热镀锌扁钢将接地极与砼基础配筋网及杆地脚螺栓在地下部分全部焊接连成一电气整体，接地电阻应≤10Ω</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19</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附件</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安装紧固件、螺母、垫片等配件</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20</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管道及敷设</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规格≥Ø50mm，高强度PE管，定制开挖，路面恢复，桥梁采取镀锌钢管沿桥固定方式。</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1000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21</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配电箱</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电源接驳点处配电箱，含电表、空开等。</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22</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电源线</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标准不于低于ZC-YJV22-4×10mm²，国标线缆；电源接驳点至设备机箱之间电源线缆</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1000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23</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电源线</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标准不于低于ZC-YJV22-4×6mm²，国标线缆；电源接驳点至设备机箱之间电源线缆</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1000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5197"/>
                  <w:gridSpan w:val="5"/>
                  <w:tcBorders>
                    <w:top w:val="none" w:color="000000" w:sz="4"/>
                    <w:left w:val="single" w:color="000000" w:sz="4"/>
                    <w:bottom w:val="single" w:color="000000" w:sz="4"/>
                    <w:right w:val="single" w:color="000000" w:sz="4"/>
                  </w:tcBorders>
                </w:tcPr>
                <w:p>
                  <w:pPr>
                    <w:jc w:val="center"/>
                  </w:pPr>
                  <w:r>
                    <w:rPr>
                      <w:b/>
                      <w:color w:val="000000"/>
                      <w:sz w:val="24"/>
                    </w:rPr>
                    <w:t>小计2</w:t>
                  </w:r>
                </w:p>
              </w:tc>
              <w:tc>
                <w:tcPr>
                  <w:tcW w:type="dxa" w:w="399"/>
                  <w:tcBorders>
                    <w:top w:val="none" w:color="000000" w:sz="4"/>
                    <w:left w:val="none" w:color="000000" w:sz="4"/>
                    <w:bottom w:val="single" w:color="000000" w:sz="4"/>
                    <w:right w:val="single" w:color="000000" w:sz="4"/>
                  </w:tcBorders>
                </w:tcPr>
                <w:p>
                  <w:pPr>
                    <w:jc w:val="left"/>
                  </w:pPr>
                  <w:r>
                    <w:rPr>
                      <w:b/>
                      <w:sz w:val="21"/>
                    </w:rPr>
                    <w:t>　</w:t>
                  </w:r>
                </w:p>
              </w:tc>
            </w:tr>
            <w:tr>
              <w:tc>
                <w:tcPr>
                  <w:tcW w:type="dxa" w:w="5596"/>
                  <w:gridSpan w:val="6"/>
                  <w:tcBorders>
                    <w:top w:val="none" w:color="000000" w:sz="4"/>
                    <w:left w:val="single" w:color="000000" w:sz="4"/>
                    <w:bottom w:val="single" w:color="000000" w:sz="4"/>
                    <w:right w:val="single" w:color="000000" w:sz="4"/>
                  </w:tcBorders>
                </w:tcPr>
                <w:p>
                  <w:pPr>
                    <w:jc w:val="left"/>
                  </w:pPr>
                  <w:r>
                    <w:rPr>
                      <w:b/>
                      <w:color w:val="000000"/>
                      <w:sz w:val="24"/>
                    </w:rPr>
                    <w:t>3.</w:t>
                  </w:r>
                  <w:r>
                    <w:rPr>
                      <w:b/>
                      <w:color w:val="000000"/>
                      <w:sz w:val="24"/>
                    </w:rPr>
                    <w:t>视频监控部分</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2</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球机支架</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铝合金/最大承受重量≥10kg</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个</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3</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红外监控枪机</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1</w:t>
                  </w:r>
                  <w:r>
                    <w:rPr>
                      <w:color w:val="000000"/>
                      <w:sz w:val="24"/>
                    </w:rPr>
                    <w:t>、传感器类型≥1/3"Progressive Scan CMOS；</w:t>
                  </w:r>
                  <w:r>
                    <w:br/>
                  </w:r>
                  <w:r>
                    <w:rPr>
                      <w:color w:val="000000"/>
                      <w:sz w:val="24"/>
                    </w:rPr>
                    <w:t>2、最小照度不高于：0.07Lux@(F1.2,AGC ON),0 Lux with IR，0.1Lux@(F1.4,AGC ON)，0 Lux with IR；</w:t>
                  </w:r>
                  <w:r>
                    <w:br/>
                  </w:r>
                  <w:r>
                    <w:rPr>
                      <w:color w:val="000000"/>
                      <w:sz w:val="24"/>
                    </w:rPr>
                    <w:t>3、快门可变区间：1/3 秒至1/100,000秒；</w:t>
                  </w:r>
                  <w:r>
                    <w:br/>
                  </w:r>
                  <w:r>
                    <w:rPr>
                      <w:color w:val="000000"/>
                      <w:sz w:val="24"/>
                    </w:rPr>
                    <w:t>4、镜头≥4mm，水平视场角≥60.5(6mm,8mm,12mm,16mm可选)；</w:t>
                  </w:r>
                  <w:r>
                    <w:br/>
                  </w:r>
                  <w:r>
                    <w:rPr>
                      <w:color w:val="000000"/>
                      <w:sz w:val="24"/>
                    </w:rPr>
                    <w:t>5、日夜转换模式：ICR红外滤片式；</w:t>
                  </w:r>
                  <w:r>
                    <w:br/>
                  </w:r>
                  <w:r>
                    <w:rPr>
                      <w:color w:val="000000"/>
                      <w:sz w:val="24"/>
                    </w:rPr>
                    <w:t>6、宽动态范围：数字宽动态；</w:t>
                  </w:r>
                  <w:r>
                    <w:br/>
                  </w:r>
                  <w:r>
                    <w:rPr>
                      <w:color w:val="000000"/>
                      <w:sz w:val="24"/>
                    </w:rPr>
                    <w:t>7、数字降噪：3D数字降噪；</w:t>
                  </w:r>
                  <w:r>
                    <w:br/>
                  </w:r>
                  <w:r>
                    <w:rPr>
                      <w:color w:val="000000"/>
                      <w:sz w:val="24"/>
                    </w:rPr>
                    <w:t>8、视频压缩标准：H.265/H.264/MJPEG；</w:t>
                  </w:r>
                  <w:r>
                    <w:br/>
                  </w:r>
                  <w:r>
                    <w:rPr>
                      <w:color w:val="000000"/>
                      <w:sz w:val="24"/>
                    </w:rPr>
                    <w:t>9、最大图像尺寸≥2048×1536；</w:t>
                  </w:r>
                  <w:r>
                    <w:br/>
                  </w:r>
                  <w:r>
                    <w:rPr>
                      <w:color w:val="000000"/>
                      <w:sz w:val="24"/>
                    </w:rPr>
                    <w:t>10、帧率≥50Hz 25fps；</w:t>
                  </w:r>
                  <w:r>
                    <w:br/>
                  </w:r>
                  <w:r>
                    <w:rPr>
                      <w:color w:val="000000"/>
                      <w:sz w:val="24"/>
                    </w:rPr>
                    <w:t>11、通讯接口：1个RJ45 10M/100M自适应以太网口</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4</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枪机支架</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产品特性：适合枪型/筒型/一体型摄像机壁装；材料：铝合金；最大承受重量≥2kg</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个</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5</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监控杆件</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定制，材质标准不低于：Q235，八角杆件；立杆高6.5m，横臂长4米。杆件采用整体热镀锌后喷塑处理，镀锌符GB/T13912-92标准，杆件颜色要求（可根据业主要求设计）:上白下蓝，距地2m为蓝色，其余为白色</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19</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6</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抱杆智能机箱</w:t>
                  </w:r>
                </w:p>
              </w:tc>
              <w:tc>
                <w:tcPr>
                  <w:tcW w:type="dxa" w:w="3242"/>
                  <w:tcBorders>
                    <w:top w:val="none" w:color="000000" w:sz="4"/>
                    <w:left w:val="none" w:color="000000" w:sz="4"/>
                    <w:bottom w:val="single" w:color="000000" w:sz="4"/>
                    <w:right w:val="single" w:color="000000" w:sz="4"/>
                  </w:tcBorders>
                </w:tcPr>
                <w:p>
                  <w:pPr>
                    <w:jc w:val="left"/>
                  </w:pPr>
                  <w:r>
                    <w:rPr>
                      <w:color w:val="000000"/>
                      <w:sz w:val="24"/>
                    </w:rPr>
                    <w:t>1</w:t>
                  </w:r>
                  <w:r>
                    <w:rPr>
                      <w:color w:val="000000"/>
                      <w:sz w:val="24"/>
                    </w:rPr>
                    <w:t>、采用模块化结构，箱体镀锌喷塑材料或同等工艺制作，厚度≥ 1.2mm，背部或底部进线、可支架或抱箍安装，箱体尺寸≥520*420*200mm；</w:t>
                  </w:r>
                  <w:r>
                    <w:br/>
                  </w:r>
                  <w:r>
                    <w:rPr>
                      <w:color w:val="000000"/>
                      <w:sz w:val="24"/>
                    </w:rPr>
                    <w:t>2、满足防腐，防潮，防尘要求；</w:t>
                  </w:r>
                  <w:r>
                    <w:br/>
                  </w:r>
                  <w:r>
                    <w:rPr>
                      <w:color w:val="000000"/>
                      <w:sz w:val="24"/>
                    </w:rPr>
                    <w:t>3、单相自动重合闸：额定电压：AC220V，额定电流：10A，合闸前具有自动检测功能；</w:t>
                  </w:r>
                  <w:r>
                    <w:br/>
                  </w:r>
                  <w:r>
                    <w:rPr>
                      <w:color w:val="000000"/>
                      <w:sz w:val="24"/>
                    </w:rPr>
                    <w:t>4、电源防雷模块：最大通流量：40KA，工作电压：220VAC；</w:t>
                  </w:r>
                  <w:r>
                    <w:br/>
                  </w:r>
                  <w:r>
                    <w:rPr>
                      <w:color w:val="000000"/>
                      <w:sz w:val="24"/>
                    </w:rPr>
                    <w:t>5、内置光纤熔接盒</w:t>
                  </w:r>
                  <w:r>
                    <w:br/>
                  </w:r>
                  <w:r>
                    <w:rPr>
                      <w:color w:val="000000"/>
                      <w:sz w:val="24"/>
                    </w:rPr>
                    <w:t>6、网口防雷：IEC61000-4-5：1.2/50</w:t>
                  </w:r>
                  <w:r>
                    <w:rPr>
                      <w:color w:val="000000"/>
                      <w:sz w:val="24"/>
                    </w:rPr>
                    <w:t>μ</w:t>
                  </w:r>
                  <w:r>
                    <w:rPr>
                      <w:color w:val="000000"/>
                      <w:sz w:val="24"/>
                    </w:rPr>
                    <w:t>s 3KV,ITU-TK21</w:t>
                  </w:r>
                  <w:r>
                    <w:rPr>
                      <w:color w:val="000000"/>
                      <w:sz w:val="24"/>
                    </w:rPr>
                    <w:t>：10/700</w:t>
                  </w:r>
                  <w:r>
                    <w:rPr>
                      <w:color w:val="000000"/>
                      <w:sz w:val="24"/>
                    </w:rPr>
                    <w:t>μ</w:t>
                  </w:r>
                  <w:r>
                    <w:rPr>
                      <w:color w:val="000000"/>
                      <w:sz w:val="24"/>
                    </w:rPr>
                    <w:t>s 6KV</w:t>
                  </w:r>
                  <w:r>
                    <w:rPr>
                      <w:color w:val="000000"/>
                      <w:sz w:val="24"/>
                    </w:rPr>
                    <w:t>；</w:t>
                  </w:r>
                  <w:r>
                    <w:br/>
                  </w:r>
                  <w:r>
                    <w:rPr>
                      <w:color w:val="000000"/>
                      <w:sz w:val="24"/>
                    </w:rPr>
                    <w:t xml:space="preserve">7、电源：3组AC220V输出电源；可供补光灯、ONU等设备供电； </w:t>
                  </w:r>
                  <w:r>
                    <w:br/>
                  </w:r>
                  <w:r>
                    <w:rPr>
                      <w:color w:val="000000"/>
                      <w:sz w:val="24"/>
                    </w:rPr>
                    <w:t>8、工作温度：-40℃-85℃ ；</w:t>
                  </w:r>
                  <w:r>
                    <w:br/>
                  </w:r>
                  <w:r>
                    <w:rPr>
                      <w:color w:val="000000"/>
                      <w:sz w:val="24"/>
                    </w:rPr>
                    <w:t>9、支持软件平台远程管理功能</w:t>
                  </w:r>
                  <w:r>
                    <w:br/>
                  </w:r>
                  <w:r>
                    <w:rPr>
                      <w:color w:val="000000"/>
                      <w:sz w:val="24"/>
                    </w:rPr>
                    <w:t>10、传输箱应由强电单元板卡、光纤熔接单元、传输板卡和电源控制板卡组成，箱内有LED照明灯和温控风扇。</w:t>
                  </w:r>
                  <w:r>
                    <w:br/>
                  </w:r>
                  <w:r>
                    <w:rPr>
                      <w:color w:val="000000"/>
                      <w:sz w:val="24"/>
                    </w:rPr>
                    <w:t>11、具备1个外循环智能控制12V风扇散热系统。当温度高于设定值时，风扇开启散热箱体配置智能除尘风扇，具备2个智能除尘风扇。；</w:t>
                  </w:r>
                  <w:r>
                    <w:br/>
                  </w:r>
                  <w:r>
                    <w:rPr>
                      <w:color w:val="000000"/>
                      <w:sz w:val="24"/>
                    </w:rPr>
                    <w:t>12、状态信息显示功能：可通过管理软件实时显示设备温度、输入输出电压、网络是否断开、箱门是否开启、风扇是否开启和光纤是否断开等参数；</w:t>
                  </w:r>
                  <w:r>
                    <w:br/>
                  </w:r>
                  <w:r>
                    <w:rPr>
                      <w:color w:val="000000"/>
                      <w:sz w:val="24"/>
                    </w:rPr>
                    <w:t>13、监测功能：可通过管理软件实时监测数字传输箱是否断网或者断电；</w:t>
                  </w:r>
                  <w:r>
                    <w:br/>
                  </w:r>
                  <w:r>
                    <w:rPr>
                      <w:color w:val="000000"/>
                      <w:sz w:val="24"/>
                    </w:rPr>
                    <w:t xml:space="preserve">14、照明灯功能：打开数字传输箱箱门，照明灯应自动开启并在管理软件弹出界面提示； </w:t>
                  </w:r>
                  <w:r>
                    <w:br/>
                  </w:r>
                  <w:r>
                    <w:rPr>
                      <w:color w:val="000000"/>
                      <w:sz w:val="24"/>
                    </w:rPr>
                    <w:t>15、报警功能：当数字传输箱内温度过高、输入输出电压异常、断网、IP 冲突、光纤断开、风扇开启、箱门打开的情况下，可通过管理软件以短信或语音和弹出界面方式进行报警提示；</w:t>
                  </w:r>
                  <w:r>
                    <w:br/>
                  </w:r>
                  <w:r>
                    <w:rPr>
                      <w:color w:val="000000"/>
                      <w:sz w:val="24"/>
                    </w:rPr>
                    <w:t>16、用户权限管理功能：管理软件应具有管理人员、操作人员两种登录用户、每种用户应具有不同的操作管理权限；</w:t>
                  </w:r>
                  <w:r>
                    <w:br/>
                  </w:r>
                  <w:r>
                    <w:rPr>
                      <w:color w:val="000000"/>
                      <w:sz w:val="24"/>
                    </w:rPr>
                    <w:t>17、日志管理功能：系统应具备日志记录功能，可记录系统内的操作记录和报警记录，并可按照时间和事件类别进行查询；</w:t>
                  </w:r>
                  <w:r>
                    <w:br/>
                  </w:r>
                  <w:r>
                    <w:rPr>
                      <w:color w:val="000000"/>
                      <w:sz w:val="24"/>
                    </w:rPr>
                    <w:t>18、具备监测倾斜、碰撞功能，当箱体倾斜或者被撞击时，后台会提出报警。</w:t>
                  </w:r>
                  <w:r>
                    <w:br/>
                  </w:r>
                  <w:r>
                    <w:rPr>
                      <w:color w:val="000000"/>
                      <w:sz w:val="24"/>
                    </w:rPr>
                    <w:t>19、具备箱体漏水检测功能，当箱体内漏水时，后台会提出报警。</w:t>
                  </w:r>
                  <w:r>
                    <w:br/>
                  </w:r>
                  <w:r>
                    <w:rPr>
                      <w:color w:val="000000"/>
                      <w:sz w:val="24"/>
                    </w:rPr>
                    <w:t>20、支持市电输入电压实时监测，断电报警，重合闸跳闸上报，远程断电、通电、重启功能，具有漏电保护功能。</w:t>
                  </w:r>
                  <w:r>
                    <w:br/>
                  </w:r>
                  <w:r>
                    <w:rPr>
                      <w:color w:val="000000"/>
                      <w:sz w:val="24"/>
                    </w:rPr>
                    <w:t>21、支持防雷器状态监测，异常报警。</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7</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电源线</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标准不低于RVV3×1.0,国标电缆</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520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8</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室外网线</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标准不低于UTP-5e，国标室外线缆</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520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9</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接地线</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使用软铜绞线BLV，其截面不小于6mm2。</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190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10</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杆件基础</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基础土方挖填、渣土外运、基础浇筑或砌筑；基础材料品种、强度≥C25砼；基础尺寸≥1000mm*1000mm*1000mm（高），含预埋铁件制作安装</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19</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11</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接地体制作及安装</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接地极采用≥1根热镀锌角钢 规格≥50×50×5(L=1500mm)，用 规格≥0×5 热镀锌扁钢将接地极与砼基础配筋网及杆地脚螺栓在地下部分全部焊接连成一电气整体，接地电阻应≤10Ω</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19</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12</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窨井</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定制，面积≥0.15m2，深度≥500mm</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只</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19</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13</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附件</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安装紧固件、螺母、垫片等配件</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19</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14</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管道及敷设</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规格≥Ø50mm，高强度PE管，定制开挖，路面恢复，桥梁采取镀锌钢管沿桥固定方式。</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3500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15</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配电箱</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电源接驳点处配电箱，含电表、空开等。</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16</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电源线</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标准不低于ZR-YJV22-3×2.5mm²，国标线缆；电源接驳点至设备机箱之间电源线缆</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米</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3500</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5197"/>
                  <w:gridSpan w:val="5"/>
                  <w:tcBorders>
                    <w:top w:val="none" w:color="000000" w:sz="4"/>
                    <w:left w:val="single" w:color="000000" w:sz="4"/>
                    <w:bottom w:val="single" w:color="000000" w:sz="4"/>
                    <w:right w:val="single" w:color="000000" w:sz="4"/>
                  </w:tcBorders>
                </w:tcPr>
                <w:p>
                  <w:pPr>
                    <w:jc w:val="center"/>
                  </w:pPr>
                  <w:r>
                    <w:rPr>
                      <w:b/>
                      <w:color w:val="000000"/>
                      <w:sz w:val="24"/>
                    </w:rPr>
                    <w:t>小计3</w:t>
                  </w:r>
                </w:p>
              </w:tc>
              <w:tc>
                <w:tcPr>
                  <w:tcW w:type="dxa" w:w="399"/>
                  <w:tcBorders>
                    <w:top w:val="none" w:color="000000" w:sz="4"/>
                    <w:left w:val="none" w:color="000000" w:sz="4"/>
                    <w:bottom w:val="single" w:color="000000" w:sz="4"/>
                    <w:right w:val="single" w:color="000000" w:sz="4"/>
                  </w:tcBorders>
                </w:tcPr>
                <w:p>
                  <w:pPr>
                    <w:jc w:val="left"/>
                  </w:pPr>
                  <w:r>
                    <w:rPr>
                      <w:b/>
                      <w:sz w:val="21"/>
                    </w:rPr>
                    <w:t>　</w:t>
                  </w:r>
                </w:p>
              </w:tc>
            </w:tr>
            <w:tr>
              <w:tc>
                <w:tcPr>
                  <w:tcW w:type="dxa" w:w="5596"/>
                  <w:gridSpan w:val="6"/>
                  <w:tcBorders>
                    <w:top w:val="none" w:color="000000" w:sz="4"/>
                    <w:left w:val="single" w:color="000000" w:sz="4"/>
                    <w:bottom w:val="single" w:color="000000" w:sz="4"/>
                    <w:right w:val="single" w:color="000000" w:sz="4"/>
                  </w:tcBorders>
                </w:tcPr>
                <w:p>
                  <w:pPr>
                    <w:jc w:val="left"/>
                  </w:pPr>
                  <w:r>
                    <w:rPr>
                      <w:b/>
                      <w:color w:val="000000"/>
                      <w:sz w:val="24"/>
                    </w:rPr>
                    <w:t>4.</w:t>
                  </w:r>
                  <w:r>
                    <w:rPr>
                      <w:b/>
                      <w:color w:val="000000"/>
                      <w:sz w:val="24"/>
                    </w:rPr>
                    <w:t>硬件及存储</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应用服务器</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１、CPU:配置≥２颗英特尔至强银牌4208(2.1GHz/8-Core/11MB/85W)或以上的处理器（带散热器）;</w:t>
                  </w:r>
                  <w:r>
                    <w:br/>
                  </w:r>
                  <w:r>
                    <w:rPr>
                      <w:color w:val="000000"/>
                      <w:sz w:val="24"/>
                    </w:rPr>
                    <w:t>２、内存：配置≥２*32GB DDR4内存；</w:t>
                  </w:r>
                  <w:r>
                    <w:br/>
                  </w:r>
                  <w:r>
                    <w:rPr>
                      <w:color w:val="000000"/>
                      <w:sz w:val="24"/>
                    </w:rPr>
                    <w:t>３、硬盘：配置≥3*600GB 10K SAS硬盘；</w:t>
                  </w:r>
                  <w:r>
                    <w:br/>
                  </w:r>
                  <w:r>
                    <w:rPr>
                      <w:color w:val="000000"/>
                      <w:sz w:val="24"/>
                    </w:rPr>
                    <w:t>４、RAID卡：配置独立阵列卡，支持RAID0、1、10、5、6、50、60-12Gb/s-1GB Cache；</w:t>
                  </w:r>
                  <w:r>
                    <w:br/>
                  </w:r>
                  <w:r>
                    <w:rPr>
                      <w:color w:val="000000"/>
                      <w:sz w:val="24"/>
                    </w:rPr>
                    <w:t>５、网口：配置板载≥2*GE+2*10GE光口；</w:t>
                  </w:r>
                  <w:r>
                    <w:br/>
                  </w:r>
                  <w:r>
                    <w:rPr>
                      <w:color w:val="000000"/>
                      <w:sz w:val="24"/>
                    </w:rPr>
                    <w:t>６、电源：配置≥2*５５0W白金交流冗余电源模块；</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2</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设备适配与数据接入一体机</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2</w:t>
                  </w:r>
                  <w:r>
                    <w:rPr>
                      <w:color w:val="000000"/>
                      <w:sz w:val="24"/>
                    </w:rPr>
                    <w:t>颗8核2.0GHz CPU及以上；64G内存及以上；不少于3块600G SAS 10KRPM硬盘</w:t>
                  </w:r>
                  <w:r>
                    <w:br/>
                  </w:r>
                  <w:r>
                    <w:rPr>
                      <w:color w:val="000000"/>
                      <w:sz w:val="24"/>
                    </w:rPr>
                    <w:t>设备接入数据量≥200万、数据缓存（MySQL）、数据上传至标准数据总线接口</w:t>
                  </w:r>
                  <w:r>
                    <w:br/>
                  </w:r>
                  <w:r>
                    <w:rPr>
                      <w:color w:val="000000"/>
                      <w:sz w:val="24"/>
                    </w:rPr>
                    <w:t>1、支持主流厂家卡口、电警、测速、气象等设备自动适配与数据接入（含平台对平台数据接入）；</w:t>
                  </w:r>
                  <w:r>
                    <w:br/>
                  </w:r>
                  <w:r>
                    <w:rPr>
                      <w:color w:val="000000"/>
                      <w:sz w:val="24"/>
                    </w:rPr>
                    <w:t>2、支持数据协议标准化，规范前端数据采集及上传数据的预处理；</w:t>
                  </w:r>
                  <w:r>
                    <w:br/>
                  </w:r>
                  <w:r>
                    <w:rPr>
                      <w:color w:val="000000"/>
                      <w:sz w:val="24"/>
                    </w:rPr>
                    <w:t>3、支持缓存积压数据二次传输策略, 将及时数据和准实时数据分流传输；</w:t>
                  </w:r>
                  <w:r>
                    <w:br/>
                  </w:r>
                  <w:r>
                    <w:rPr>
                      <w:color w:val="000000"/>
                      <w:sz w:val="24"/>
                    </w:rPr>
                    <w:t>4、支持设备接入网关横向扩展，根据适配原则前端设备可分段接入；</w:t>
                  </w:r>
                  <w:r>
                    <w:br/>
                  </w:r>
                  <w:r>
                    <w:rPr>
                      <w:color w:val="000000"/>
                      <w:sz w:val="24"/>
                    </w:rPr>
                    <w:t>5、提供数据接入网关远程WEB管理，具备简约配置与维护能力。</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3</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数据分发一体机</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2</w:t>
                  </w:r>
                  <w:r>
                    <w:rPr>
                      <w:color w:val="000000"/>
                      <w:sz w:val="24"/>
                    </w:rPr>
                    <w:t>颗8核2.0GHz CPU及以上；64G内存及以上；不少于3块600G SAS 10KRPM硬盘</w:t>
                  </w:r>
                  <w:r>
                    <w:br/>
                  </w:r>
                  <w:r>
                    <w:rPr>
                      <w:color w:val="000000"/>
                      <w:sz w:val="24"/>
                    </w:rPr>
                    <w:t>标准接口、MQ服务、数据分发服务</w:t>
                  </w:r>
                  <w:r>
                    <w:br/>
                  </w:r>
                  <w:r>
                    <w:rPr>
                      <w:color w:val="000000"/>
                      <w:sz w:val="24"/>
                    </w:rPr>
                    <w:t>1、支持跨平台、跨网络、跨部门的数据传输分发策略；</w:t>
                  </w:r>
                  <w:r>
                    <w:br/>
                  </w:r>
                  <w:r>
                    <w:rPr>
                      <w:color w:val="000000"/>
                      <w:sz w:val="24"/>
                    </w:rPr>
                    <w:t>2、基于高速缓存的实时数据动态订阅与消费；</w:t>
                  </w:r>
                  <w:r>
                    <w:br/>
                  </w:r>
                  <w:r>
                    <w:rPr>
                      <w:color w:val="000000"/>
                      <w:sz w:val="24"/>
                    </w:rPr>
                    <w:t>3、支持缓存积压数据二次分发策略, 将及时数据和准实时数据分流传输；</w:t>
                  </w:r>
                  <w:r>
                    <w:br/>
                  </w:r>
                  <w:r>
                    <w:rPr>
                      <w:color w:val="000000"/>
                      <w:sz w:val="24"/>
                    </w:rPr>
                    <w:t>4、支持数据总线的纵向级联、横向扩展及负载均衡策略；</w:t>
                  </w:r>
                  <w:r>
                    <w:br/>
                  </w:r>
                  <w:r>
                    <w:rPr>
                      <w:color w:val="000000"/>
                      <w:sz w:val="24"/>
                    </w:rPr>
                    <w:t>5、提供数据分发网关远程WEB管理，具备简约配置与维护能力。</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4</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构架服务器</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2U</w:t>
                  </w:r>
                  <w:r>
                    <w:rPr>
                      <w:color w:val="000000"/>
                      <w:sz w:val="24"/>
                    </w:rPr>
                    <w:t>双路标准机架式服务器</w:t>
                  </w:r>
                  <w:r>
                    <w:br/>
                  </w:r>
                  <w:r>
                    <w:rPr>
                      <w:color w:val="000000"/>
                      <w:sz w:val="24"/>
                    </w:rPr>
                    <w:t>CPU≥2颗Xeon® Silver 4110（8核，2.1GHz）</w:t>
                  </w:r>
                  <w:r>
                    <w:br/>
                  </w:r>
                  <w:r>
                    <w:rPr>
                      <w:color w:val="000000"/>
                      <w:sz w:val="24"/>
                    </w:rPr>
                    <w:t>内存≥16G*4 DDR4，不少于16根内存插槽，最大支持扩展至2TB内存</w:t>
                  </w:r>
                  <w:r>
                    <w:br/>
                  </w:r>
                  <w:r>
                    <w:rPr>
                      <w:color w:val="000000"/>
                      <w:sz w:val="24"/>
                    </w:rPr>
                    <w:t>硬盘≥2块600G 10K 2.5寸 SAS硬盘，≥2块900G 10K 2.5寸 SAS硬盘，最高可支持12块3.5寸/2.5寸热插拔SAS/SATA硬盘</w:t>
                  </w:r>
                  <w:r>
                    <w:br/>
                  </w:r>
                  <w:r>
                    <w:rPr>
                      <w:color w:val="000000"/>
                      <w:sz w:val="24"/>
                    </w:rPr>
                    <w:t>阵列卡：SAS_HBA卡，支持RAID 0/1/10</w:t>
                  </w:r>
                  <w:r>
                    <w:br/>
                  </w:r>
                  <w:r>
                    <w:rPr>
                      <w:color w:val="000000"/>
                      <w:sz w:val="24"/>
                    </w:rPr>
                    <w:t>PCIE扩展：最大可支持6个PCIE扩展插槽</w:t>
                  </w:r>
                  <w:r>
                    <w:br/>
                  </w:r>
                  <w:r>
                    <w:rPr>
                      <w:color w:val="000000"/>
                      <w:sz w:val="24"/>
                    </w:rPr>
                    <w:t>网口：2个千兆电口,2个万兆光口</w:t>
                  </w:r>
                  <w:r>
                    <w:br/>
                  </w:r>
                  <w:r>
                    <w:rPr>
                      <w:color w:val="000000"/>
                      <w:sz w:val="24"/>
                    </w:rPr>
                    <w:t>其他接口：1个RJ45管理接口，4个USB 3.0接口，1个VGA接口</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5</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组件服务器</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2U</w:t>
                  </w:r>
                  <w:r>
                    <w:rPr>
                      <w:color w:val="000000"/>
                      <w:sz w:val="24"/>
                    </w:rPr>
                    <w:t>双路标准机架式服务器</w:t>
                  </w:r>
                  <w:r>
                    <w:br/>
                  </w:r>
                  <w:r>
                    <w:rPr>
                      <w:color w:val="000000"/>
                      <w:sz w:val="24"/>
                    </w:rPr>
                    <w:t>CPU≥2颗Xeon® Silver 4110（8核，2.1GHz）</w:t>
                  </w:r>
                  <w:r>
                    <w:br/>
                  </w:r>
                  <w:r>
                    <w:rPr>
                      <w:color w:val="000000"/>
                      <w:sz w:val="24"/>
                    </w:rPr>
                    <w:t>内存≥16G*4 DDR4，不少于16根内存插槽，最大支持扩展至2TB内存</w:t>
                  </w:r>
                  <w:r>
                    <w:br/>
                  </w:r>
                  <w:r>
                    <w:rPr>
                      <w:color w:val="000000"/>
                      <w:sz w:val="24"/>
                    </w:rPr>
                    <w:t>硬盘≥2块600G 10K 2.5寸 SAS硬盘，≥2块900G 10K 2.5寸 SAS硬盘，最高可支持12块3.5寸/2.5寸热插拔SAS/SATA硬盘</w:t>
                  </w:r>
                  <w:r>
                    <w:br/>
                  </w:r>
                  <w:r>
                    <w:rPr>
                      <w:color w:val="000000"/>
                      <w:sz w:val="24"/>
                    </w:rPr>
                    <w:t>阵列卡：SAS_HBA卡，支持RAID 0/1/10</w:t>
                  </w:r>
                  <w:r>
                    <w:br/>
                  </w:r>
                  <w:r>
                    <w:rPr>
                      <w:color w:val="000000"/>
                      <w:sz w:val="24"/>
                    </w:rPr>
                    <w:t>PCIE扩展：最大可支持6个PCIE扩展插槽</w:t>
                  </w:r>
                  <w:r>
                    <w:br/>
                  </w:r>
                  <w:r>
                    <w:rPr>
                      <w:color w:val="000000"/>
                      <w:sz w:val="24"/>
                    </w:rPr>
                    <w:t>网口：2个千兆电口,2个万兆光口</w:t>
                  </w:r>
                  <w:r>
                    <w:br/>
                  </w:r>
                  <w:r>
                    <w:rPr>
                      <w:color w:val="000000"/>
                      <w:sz w:val="24"/>
                    </w:rPr>
                    <w:t>其他接口：1个RJ45管理接口，4个USB 3.0接口，1个VGA接口</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6</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磁盘阵列</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1</w:t>
                  </w:r>
                  <w:r>
                    <w:rPr>
                      <w:color w:val="000000"/>
                      <w:sz w:val="24"/>
                    </w:rPr>
                    <w:t>、机架式/不大于4U，≥24盘位/≥2048Mbps接入带宽/SATA硬盘/可接SAS扩展柜/≥双64位多核处理器，≥8GB高速缓存（可扩展到128GB）, ≥4个千兆网口（可扩≥8个千兆 或 ≥4个万兆以太网口）/冗余电源；</w:t>
                  </w:r>
                  <w:r>
                    <w:br/>
                  </w:r>
                  <w:r>
                    <w:rPr>
                      <w:color w:val="000000"/>
                      <w:sz w:val="24"/>
                    </w:rPr>
                    <w:t>2、支持流媒体1：1：1接入存储转发；</w:t>
                  </w:r>
                  <w:r>
                    <w:br/>
                  </w:r>
                  <w:r>
                    <w:rPr>
                      <w:color w:val="000000"/>
                      <w:sz w:val="24"/>
                    </w:rPr>
                    <w:t>3、支持视频流、图片、SMART、视频文件混合直写；</w:t>
                  </w:r>
                  <w:r>
                    <w:br/>
                  </w:r>
                  <w:r>
                    <w:rPr>
                      <w:color w:val="000000"/>
                      <w:sz w:val="24"/>
                    </w:rPr>
                    <w:t>4、支持智能事件检索、精确定位、浓缩播放；</w:t>
                  </w:r>
                  <w:r>
                    <w:br/>
                  </w:r>
                  <w:r>
                    <w:rPr>
                      <w:color w:val="000000"/>
                      <w:sz w:val="24"/>
                    </w:rPr>
                    <w:t>5、支持RAID 0、1、3、5、6、10、50，60；</w:t>
                  </w:r>
                  <w:r>
                    <w:br/>
                  </w:r>
                  <w:r>
                    <w:rPr>
                      <w:color w:val="000000"/>
                      <w:sz w:val="24"/>
                    </w:rPr>
                    <w:t>6、支持网络协议：RTSP/ONVIF/PSIA/SIP（GB/T28181）/iSCSI/NFS/CIFS/FTP/HTTP/AFP；</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7</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硬盘</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容量≥6TB/128MB（6GB/秒 NCQ）/≥7200RPM/SATA</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24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8</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视频管理平台</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含视频应用、系统配置等基本功能</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9</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服务器机柜</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类型：网络服务器机柜；容量：42U；19”标准符合ANSI/EIA RS-310-D、IEC297-2、DIN41491；PART1、DIN41494；PART7、GB/T3047.2- 92标准；兼容ETSI标准；门及门锁六角网孔前门后门；材料及工艺脱脂、酸洗、磷化、静电喷塑，优质冷轧钢板；附加功能静载800KG，防护等级：IP20。机柜尺寸：高×宽×深：2000mm×600mm×1000mm，机柜尺寸应可根据实际情况进行调配。每个机柜含带电流显示机柜专用8口PDU×2</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10</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KVM</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可控制服务器数量≥8台</w:t>
                  </w:r>
                  <w:r>
                    <w:br/>
                  </w:r>
                  <w:r>
                    <w:rPr>
                      <w:color w:val="000000"/>
                      <w:sz w:val="24"/>
                    </w:rPr>
                    <w:t>显示屏类型：XGA TFT</w:t>
                  </w:r>
                  <w:r>
                    <w:br/>
                  </w:r>
                  <w:r>
                    <w:rPr>
                      <w:color w:val="000000"/>
                      <w:sz w:val="24"/>
                    </w:rPr>
                    <w:t>色彩显示≥16.7M</w:t>
                  </w:r>
                  <w:r>
                    <w:br/>
                  </w:r>
                  <w:r>
                    <w:rPr>
                      <w:color w:val="000000"/>
                      <w:sz w:val="24"/>
                    </w:rPr>
                    <w:t>亮度≥300cd/m2(Typ)</w:t>
                  </w:r>
                  <w:r>
                    <w:br/>
                  </w:r>
                  <w:r>
                    <w:rPr>
                      <w:color w:val="000000"/>
                      <w:sz w:val="24"/>
                    </w:rPr>
                    <w:t>对比度≥1000:1(Typ)</w:t>
                  </w:r>
                  <w:r>
                    <w:br/>
                  </w:r>
                  <w:r>
                    <w:rPr>
                      <w:color w:val="000000"/>
                      <w:sz w:val="24"/>
                    </w:rPr>
                    <w:t>像素间隔≤ 0.264(H)×0.264(W)</w:t>
                  </w:r>
                  <w:r>
                    <w:br/>
                  </w:r>
                  <w:r>
                    <w:rPr>
                      <w:color w:val="000000"/>
                      <w:sz w:val="24"/>
                    </w:rPr>
                    <w:t>LCD MTBF：&gt;50,000小时</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11</w:t>
                  </w:r>
                </w:p>
              </w:tc>
              <w:tc>
                <w:tcPr>
                  <w:tcW w:type="dxa" w:w="751"/>
                  <w:tcBorders>
                    <w:top w:val="none" w:color="000000" w:sz="4"/>
                    <w:left w:val="none" w:color="000000" w:sz="4"/>
                    <w:bottom w:val="none" w:color="000000" w:sz="4"/>
                    <w:right w:val="single" w:color="000000" w:sz="4"/>
                  </w:tcBorders>
                </w:tcPr>
                <w:p>
                  <w:pPr>
                    <w:jc w:val="center"/>
                  </w:pPr>
                  <w:r>
                    <w:rPr>
                      <w:color w:val="000000"/>
                      <w:sz w:val="24"/>
                    </w:rPr>
                    <w:t>辅材</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六类网线、机柜电源线、标签等</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5197"/>
                  <w:gridSpan w:val="5"/>
                  <w:tcBorders>
                    <w:top w:val="none" w:color="000000" w:sz="4"/>
                    <w:left w:val="single" w:color="000000" w:sz="4"/>
                    <w:bottom w:val="single" w:color="000000" w:sz="4"/>
                    <w:right w:val="single" w:color="000000" w:sz="4"/>
                  </w:tcBorders>
                </w:tcPr>
                <w:p>
                  <w:pPr>
                    <w:jc w:val="center"/>
                  </w:pPr>
                  <w:r>
                    <w:rPr>
                      <w:b/>
                      <w:color w:val="000000"/>
                      <w:sz w:val="24"/>
                    </w:rPr>
                    <w:t>小计4</w:t>
                  </w:r>
                </w:p>
              </w:tc>
              <w:tc>
                <w:tcPr>
                  <w:tcW w:type="dxa" w:w="399"/>
                  <w:tcBorders>
                    <w:top w:val="none" w:color="000000" w:sz="4"/>
                    <w:left w:val="none" w:color="000000" w:sz="4"/>
                    <w:bottom w:val="single" w:color="000000" w:sz="4"/>
                    <w:right w:val="single" w:color="000000" w:sz="4"/>
                  </w:tcBorders>
                </w:tcPr>
                <w:p>
                  <w:pPr>
                    <w:jc w:val="left"/>
                  </w:pPr>
                  <w:r>
                    <w:rPr>
                      <w:b/>
                      <w:sz w:val="21"/>
                    </w:rPr>
                    <w:t>　</w:t>
                  </w:r>
                </w:p>
              </w:tc>
            </w:tr>
            <w:tr>
              <w:tc>
                <w:tcPr>
                  <w:tcW w:type="dxa" w:w="5596"/>
                  <w:gridSpan w:val="6"/>
                  <w:tcBorders>
                    <w:top w:val="none" w:color="000000" w:sz="4"/>
                    <w:left w:val="single" w:color="000000" w:sz="4"/>
                    <w:bottom w:val="single" w:color="000000" w:sz="4"/>
                    <w:right w:val="single" w:color="000000" w:sz="4"/>
                  </w:tcBorders>
                </w:tcPr>
                <w:p>
                  <w:pPr>
                    <w:jc w:val="left"/>
                  </w:pPr>
                  <w:r>
                    <w:rPr>
                      <w:b/>
                      <w:color w:val="000000"/>
                      <w:sz w:val="24"/>
                    </w:rPr>
                    <w:t>5</w:t>
                  </w:r>
                  <w:r>
                    <w:rPr>
                      <w:b/>
                      <w:color w:val="000000"/>
                      <w:sz w:val="24"/>
                    </w:rPr>
                    <w:t>、中队指挥室及执法站岗亭</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2</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LCD</w:t>
                  </w:r>
                  <w:r>
                    <w:rPr>
                      <w:color w:val="000000"/>
                      <w:sz w:val="24"/>
                    </w:rPr>
                    <w:t>屏框架</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支架均采用SPCC优质冷轧钢板保障质量的源头；表面采用静电喷塑工艺，喷塑固化温度180-210度，涂层厚度80-100微米，对高防腐要求产品还可选择阴极电泳底漆工艺，防腐耐锈。</w:t>
                  </w:r>
                  <w:r>
                    <w:br/>
                  </w:r>
                  <w:r>
                    <w:rPr>
                      <w:color w:val="000000"/>
                      <w:sz w:val="24"/>
                    </w:rPr>
                    <w:t>颜色：黑色</w:t>
                  </w:r>
                  <w:r>
                    <w:br/>
                  </w:r>
                  <w:r>
                    <w:rPr>
                      <w:color w:val="000000"/>
                      <w:sz w:val="24"/>
                    </w:rPr>
                    <w:t>后拉杆长度：600-900mm</w:t>
                  </w:r>
                  <w:r>
                    <w:br/>
                  </w:r>
                  <w:r>
                    <w:rPr>
                      <w:color w:val="000000"/>
                      <w:sz w:val="24"/>
                    </w:rPr>
                    <w:t>弧度：0°</w:t>
                  </w:r>
                  <w:r>
                    <w:br/>
                  </w:r>
                  <w:r>
                    <w:rPr>
                      <w:color w:val="000000"/>
                      <w:sz w:val="24"/>
                    </w:rPr>
                    <w:t>开门及封板：底座前封板，含侧封板、顶盖板，无后门结构</w:t>
                  </w:r>
                  <w:r>
                    <w:br/>
                  </w:r>
                  <w:r>
                    <w:rPr>
                      <w:color w:val="000000"/>
                      <w:sz w:val="24"/>
                    </w:rPr>
                    <w:t>表面处理：静电喷塑</w:t>
                  </w:r>
                  <w:r>
                    <w:br/>
                  </w:r>
                  <w:r>
                    <w:rPr>
                      <w:color w:val="000000"/>
                      <w:sz w:val="24"/>
                    </w:rPr>
                    <w:t>底座高度：600/800/1000/1200mm</w:t>
                  </w:r>
                  <w:r>
                    <w:br/>
                  </w:r>
                  <w:r>
                    <w:rPr>
                      <w:color w:val="000000"/>
                      <w:sz w:val="24"/>
                    </w:rPr>
                    <w:t>厚度≤400mm</w:t>
                  </w:r>
                  <w:r>
                    <w:br/>
                  </w:r>
                  <w:r>
                    <w:rPr>
                      <w:color w:val="000000"/>
                      <w:sz w:val="24"/>
                    </w:rPr>
                    <w:t>材料：SPCC高强度钢板</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36</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3</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LCD</w:t>
                  </w:r>
                  <w:r>
                    <w:rPr>
                      <w:color w:val="000000"/>
                      <w:sz w:val="24"/>
                    </w:rPr>
                    <w:t>屏底座</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支架均采用SPCC优质冷轧钢板保障质量的源头；表面采用静电喷塑工艺，喷塑固化温度180-210度，涂层厚度80-100微米，对高防腐要求产品还可选择阴极电泳底漆工艺，防腐耐锈。</w:t>
                  </w:r>
                  <w:r>
                    <w:br/>
                  </w:r>
                  <w:r>
                    <w:rPr>
                      <w:color w:val="000000"/>
                      <w:sz w:val="24"/>
                    </w:rPr>
                    <w:t>颜色：黑色</w:t>
                  </w:r>
                  <w:r>
                    <w:br/>
                  </w:r>
                  <w:r>
                    <w:rPr>
                      <w:color w:val="000000"/>
                      <w:sz w:val="24"/>
                    </w:rPr>
                    <w:t>后拉杆长度：600-900mm</w:t>
                  </w:r>
                  <w:r>
                    <w:br/>
                  </w:r>
                  <w:r>
                    <w:rPr>
                      <w:color w:val="000000"/>
                      <w:sz w:val="24"/>
                    </w:rPr>
                    <w:t>弧度：0°</w:t>
                  </w:r>
                  <w:r>
                    <w:br/>
                  </w:r>
                  <w:r>
                    <w:rPr>
                      <w:color w:val="000000"/>
                      <w:sz w:val="24"/>
                    </w:rPr>
                    <w:t>开门及封板：底座前封板，含侧封板、顶盖板，无后门结构</w:t>
                  </w:r>
                  <w:r>
                    <w:br/>
                  </w:r>
                  <w:r>
                    <w:rPr>
                      <w:color w:val="000000"/>
                      <w:sz w:val="24"/>
                    </w:rPr>
                    <w:t>表面处理：静电喷塑</w:t>
                  </w:r>
                  <w:r>
                    <w:br/>
                  </w:r>
                  <w:r>
                    <w:rPr>
                      <w:color w:val="000000"/>
                      <w:sz w:val="24"/>
                    </w:rPr>
                    <w:t>底座高度：600/800/1000/1200mm</w:t>
                  </w:r>
                  <w:r>
                    <w:br/>
                  </w:r>
                  <w:r>
                    <w:rPr>
                      <w:color w:val="000000"/>
                      <w:sz w:val="24"/>
                    </w:rPr>
                    <w:t>厚度≤400mm</w:t>
                  </w:r>
                  <w:r>
                    <w:br/>
                  </w:r>
                  <w:r>
                    <w:rPr>
                      <w:color w:val="000000"/>
                      <w:sz w:val="24"/>
                    </w:rPr>
                    <w:t>材料：SPCC高强度钢板</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12</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5</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LED</w:t>
                  </w:r>
                  <w:r>
                    <w:rPr>
                      <w:color w:val="000000"/>
                      <w:sz w:val="24"/>
                    </w:rPr>
                    <w:t>室内双基色</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1)</w:t>
                  </w:r>
                  <w:r>
                    <w:rPr>
                      <w:color w:val="000000"/>
                      <w:sz w:val="24"/>
                    </w:rPr>
                    <w:t>类型：室内双色Φ3.75</w:t>
                  </w:r>
                  <w:r>
                    <w:br/>
                  </w:r>
                  <w:r>
                    <w:rPr>
                      <w:color w:val="000000"/>
                      <w:sz w:val="24"/>
                    </w:rPr>
                    <w:t>2) 有效显示屏尺寸（长×高）：≥608mm×1672mm×2条</w:t>
                  </w:r>
                  <w:r>
                    <w:br/>
                  </w:r>
                  <w:r>
                    <w:rPr>
                      <w:color w:val="000000"/>
                      <w:sz w:val="24"/>
                    </w:rPr>
                    <w:t>3) 像素间距≤4.75mm</w:t>
                  </w:r>
                  <w:r>
                    <w:br/>
                  </w:r>
                  <w:r>
                    <w:rPr>
                      <w:color w:val="000000"/>
                      <w:sz w:val="24"/>
                    </w:rPr>
                    <w:t>4) 像素密度≥44321点/㎡</w:t>
                  </w:r>
                  <w:r>
                    <w:br/>
                  </w:r>
                  <w:r>
                    <w:rPr>
                      <w:color w:val="000000"/>
                      <w:sz w:val="24"/>
                    </w:rPr>
                    <w:t>5) 亮度：≥500cd/㎡</w:t>
                  </w:r>
                  <w:r>
                    <w:br/>
                  </w:r>
                  <w:r>
                    <w:rPr>
                      <w:color w:val="000000"/>
                      <w:sz w:val="24"/>
                    </w:rPr>
                    <w:t>6) 视角：≥120°</w:t>
                  </w:r>
                  <w:r>
                    <w:br/>
                  </w:r>
                  <w:r>
                    <w:rPr>
                      <w:color w:val="000000"/>
                      <w:sz w:val="24"/>
                    </w:rPr>
                    <w:t>7) 峰值功耗：≤500W/㎡</w:t>
                  </w:r>
                  <w:r>
                    <w:br/>
                  </w:r>
                  <w:r>
                    <w:rPr>
                      <w:color w:val="000000"/>
                      <w:sz w:val="24"/>
                    </w:rPr>
                    <w:t>8)单元板尺寸≤304mm×152mm</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6</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执法站岗亭</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彩钢板定制，面积约12平方。配置：配电箱、照明灯、开关、插座、预置空调座及相关配置。</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7</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操作台</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定制，一排4人工位，控制台规格：长度≥3670mm，台面深度≥800mm,距地面高≥750mm，背墙高≥220mm；两排≥2工位，控制台规格：长度≥2470mm，台面深度≥800mm,距地面高≥750mm，背墙高≥220mm。</w:t>
                  </w:r>
                  <w:r>
                    <w:br/>
                  </w:r>
                  <w:r>
                    <w:rPr>
                      <w:color w:val="000000"/>
                      <w:sz w:val="24"/>
                    </w:rPr>
                    <w:t>1.框架结构：内部主框架为钢架防静电喷塑处理，前后门板为冷轧钢板。框架结构中各部件使用一级冷轧钢板冲压折弯成型，主体框架使用不低于2mm厚的一级冷轧钢板加工，承重梁部件使用不低于3mm厚的一级冷轧钢板加工，外表面静电塑粉喷涂。</w:t>
                  </w:r>
                  <w:r>
                    <w:br/>
                  </w:r>
                  <w:r>
                    <w:rPr>
                      <w:color w:val="000000"/>
                      <w:sz w:val="24"/>
                    </w:rPr>
                    <w:t>2.控制台面板为高压耐磨防火板（HPL)+实木颗粒板，整体厚度不低于27mm，大面板之间需做隐藏式箭头所链接，整体连接后必须平整光滑无缝隙。</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8</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操作台</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定制，一排3人工位，控制台规格：长度≥2770mm，台面深度≥800mm,距地面高≥750mm，背墙高≥220mm；两排≥2工位，控制台规格：长度≥2470mm，台面深度≥800mm,距地面高≥750mm，背墙高≥220mm。</w:t>
                  </w:r>
                  <w:r>
                    <w:br/>
                  </w:r>
                  <w:r>
                    <w:rPr>
                      <w:color w:val="000000"/>
                      <w:sz w:val="24"/>
                    </w:rPr>
                    <w:t>1.框架结构：内部主框架为钢架防静电喷塑处理，前后门板为冷轧钢板。框架结构中各部件使用一级冷轧钢板冲压折弯成型，主体框架使用不低于2mm厚的一级冷轧钢板加工，承重梁部件使用不低于3mm厚的一级冷轧钢板加工，外表面静电塑粉喷涂。</w:t>
                  </w:r>
                  <w:r>
                    <w:br/>
                  </w:r>
                  <w:r>
                    <w:rPr>
                      <w:color w:val="000000"/>
                      <w:sz w:val="24"/>
                    </w:rPr>
                    <w:t>2.控制台面板为高压耐磨防火板（HPL)+实木颗粒板，整体厚度不低于27mm，大面板之间需做隐藏式箭头所链接，整体连接后必须平整光滑无缝隙。</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套</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3</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9</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人体工程椅</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1.</w:t>
                  </w:r>
                  <w:r>
                    <w:rPr>
                      <w:color w:val="000000"/>
                      <w:sz w:val="24"/>
                    </w:rPr>
                    <w:t>头枕可高度及角度调节；2.原位锁定底盘、可同步倾仰；3.原位角度锁定及倾仰力度调节；弹性腰枕可单独高低升降调节；4.椅座可高低调节；T型固定扶手；</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张</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13</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10</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机柜</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类型：网络服务器机柜；容量：22U；19”标准符合ANSI/EIA RS-310-D、IEC297-2、DIN41491；PART1、DIN41494；PART7、GB/T3047.2- 92标准；兼容ETSI标准；门及门锁六角网孔前门后门；材料及工艺脱脂、酸洗、磷化、静电喷塑，优质冷轧钢板；附加功能静载800KG，防护等级：IP20。机柜尺寸：高×宽×深：2000mm×600mm×800mm，机柜尺寸应可根据实际情况进行调配。机柜含专用8口PDU×2</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11</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工作站</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英特尔酷睿i7，内存≥8GB，DDR3，独立显卡，显存≥2GB；硬盘：≥2TB SATA 7200rpm  3.5寸SATA硬盘；DVD刻录光驱，声卡、多媒体声棒，标准键盘鼠标/21.5”宽屏液晶显示器×1；含Windows10专业版操作系统。</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13</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12</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交换机</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≥24个10/100/1000BASE-T电口,支持≥4个1000BASE-X SFP端口,支持AC，背板带宽≥336Gbps/3.36Tbps，≥包转发率 96Mpps/126Mpps</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台</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8</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13</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大屏电源敷设</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配电房到指挥电源敷设，含强电电缆</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14</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综合布线</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指挥室24个信息点管线敷设，含强电电缆</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15</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辅材</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24</w:t>
                  </w:r>
                  <w:r>
                    <w:rPr>
                      <w:color w:val="000000"/>
                      <w:sz w:val="24"/>
                    </w:rPr>
                    <w:t>口六类配线架X2个；1U理线架Z2个；20米高清DVI线X3根、六类网络线X3箱及配套扎带、水晶头、标签等。</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16</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搬迁拆旧清理</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人工拆除砖墙，及废料外运</w:t>
                  </w:r>
                  <w:r>
                    <w:br/>
                  </w:r>
                  <w:r>
                    <w:rPr>
                      <w:color w:val="000000"/>
                      <w:sz w:val="24"/>
                    </w:rPr>
                    <w:t>工人拆除木质门窗，及废料外运</w:t>
                  </w:r>
                  <w:r>
                    <w:br/>
                  </w:r>
                  <w:r>
                    <w:rPr>
                      <w:color w:val="000000"/>
                      <w:sz w:val="24"/>
                    </w:rPr>
                    <w:t>原有指挥室办公家具清运，</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17</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装饰</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吊顶天棚：600</w:t>
                  </w:r>
                  <w:r>
                    <w:rPr>
                      <w:color w:val="000000"/>
                      <w:sz w:val="24"/>
                    </w:rPr>
                    <w:t>Í</w:t>
                  </w:r>
                  <w:r>
                    <w:rPr>
                      <w:color w:val="000000"/>
                      <w:sz w:val="24"/>
                    </w:rPr>
                    <w:t>600</w:t>
                  </w:r>
                  <w:r>
                    <w:rPr>
                      <w:color w:val="000000"/>
                      <w:sz w:val="24"/>
                    </w:rPr>
                    <w:t>铝扣板冲孔天花，50m</w:t>
                  </w:r>
                  <w:r>
                    <w:rPr>
                      <w:color w:val="000000"/>
                      <w:sz w:val="24"/>
                      <w:vertAlign w:val="superscript"/>
                    </w:rPr>
                    <w:t>2</w:t>
                  </w:r>
                  <w:r>
                    <w:br/>
                  </w:r>
                  <w:r>
                    <w:rPr>
                      <w:color w:val="000000"/>
                      <w:sz w:val="24"/>
                    </w:rPr>
                    <w:t>满刮墙面腻子：环保腻子刮三遍，打磨，95m</w:t>
                  </w:r>
                  <w:r>
                    <w:rPr>
                      <w:color w:val="000000"/>
                      <w:sz w:val="24"/>
                      <w:vertAlign w:val="superscript"/>
                    </w:rPr>
                    <w:t>2</w:t>
                  </w:r>
                  <w:r>
                    <w:br/>
                  </w:r>
                  <w:r>
                    <w:rPr>
                      <w:color w:val="000000"/>
                      <w:sz w:val="24"/>
                    </w:rPr>
                    <w:t>抹灰面漆：ICI油漆三遍，一遍底漆，二遍面漆，95m</w:t>
                  </w:r>
                  <w:r>
                    <w:rPr>
                      <w:color w:val="000000"/>
                      <w:sz w:val="24"/>
                      <w:vertAlign w:val="superscript"/>
                    </w:rPr>
                    <w:t>2</w:t>
                  </w:r>
                  <w:r>
                    <w:br/>
                  </w:r>
                  <w:r>
                    <w:rPr>
                      <w:color w:val="000000"/>
                      <w:sz w:val="24"/>
                    </w:rPr>
                    <w:t>新建砖墙，24墙，新砌24厚墙面抹灰，20m</w:t>
                  </w:r>
                  <w:r>
                    <w:rPr>
                      <w:color w:val="000000"/>
                      <w:sz w:val="24"/>
                      <w:vertAlign w:val="superscript"/>
                    </w:rPr>
                    <w:t>2</w:t>
                  </w:r>
                  <w:r>
                    <w:br/>
                  </w:r>
                  <w:r>
                    <w:rPr>
                      <w:color w:val="000000"/>
                      <w:sz w:val="24"/>
                    </w:rPr>
                    <w:t>指挥室防火门安装，指挥室配电箱、灯具、强电电缆及照明管线敷设。</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18</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窗帘</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遮阳窗帘2m</w:t>
                  </w:r>
                  <w:r>
                    <w:rPr>
                      <w:color w:val="000000"/>
                      <w:sz w:val="24"/>
                    </w:rPr>
                    <w:t>Í</w:t>
                  </w:r>
                  <w:r>
                    <w:rPr>
                      <w:color w:val="000000"/>
                      <w:sz w:val="24"/>
                    </w:rPr>
                    <w:t>2m</w:t>
                  </w:r>
                  <w:r>
                    <w:rPr>
                      <w:color w:val="000000"/>
                      <w:sz w:val="24"/>
                    </w:rPr>
                    <w:t>，定制</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19</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防火门</w:t>
                  </w:r>
                </w:p>
              </w:tc>
              <w:tc>
                <w:tcPr>
                  <w:tcW w:type="dxa" w:w="3242"/>
                  <w:tcBorders>
                    <w:top w:val="none" w:color="000000" w:sz="4"/>
                    <w:left w:val="none" w:color="000000" w:sz="4"/>
                    <w:bottom w:val="single" w:color="000000" w:sz="4"/>
                    <w:right w:val="single" w:color="000000" w:sz="4"/>
                  </w:tcBorders>
                  <w:vAlign w:val="top"/>
                </w:tcPr>
                <w:p>
                  <w:pPr>
                    <w:jc w:val="left"/>
                  </w:pPr>
                  <w:r>
                    <w:rPr>
                      <w:color w:val="000000"/>
                      <w:sz w:val="24"/>
                    </w:rPr>
                    <w:t>定制，2050mm</w:t>
                  </w:r>
                  <w:r>
                    <w:rPr>
                      <w:color w:val="000000"/>
                      <w:sz w:val="24"/>
                    </w:rPr>
                    <w:t>Í</w:t>
                  </w:r>
                  <w:r>
                    <w:rPr>
                      <w:color w:val="000000"/>
                      <w:sz w:val="24"/>
                    </w:rPr>
                    <w:t>1180</w:t>
                  </w:r>
                </w:p>
              </w:tc>
              <w:tc>
                <w:tcPr>
                  <w:tcW w:type="dxa" w:w="406"/>
                  <w:tcBorders>
                    <w:top w:val="none" w:color="000000" w:sz="4"/>
                    <w:left w:val="none" w:color="000000" w:sz="4"/>
                    <w:bottom w:val="single" w:color="000000" w:sz="4"/>
                    <w:right w:val="single" w:color="000000" w:sz="4"/>
                  </w:tcBorders>
                </w:tcPr>
                <w:p>
                  <w:pPr>
                    <w:jc w:val="center"/>
                  </w:pPr>
                  <w:r>
                    <w:rPr>
                      <w:color w:val="000000"/>
                      <w:sz w:val="24"/>
                    </w:rPr>
                    <w:t>扇</w:t>
                  </w:r>
                </w:p>
              </w:tc>
              <w:tc>
                <w:tcPr>
                  <w:tcW w:type="dxa" w:w="399"/>
                  <w:tcBorders>
                    <w:top w:val="none" w:color="000000" w:sz="4"/>
                    <w:left w:val="none" w:color="000000" w:sz="4"/>
                    <w:bottom w:val="single" w:color="000000" w:sz="4"/>
                    <w:right w:val="single" w:color="000000" w:sz="4"/>
                  </w:tcBorders>
                </w:tcPr>
                <w:p>
                  <w:pPr>
                    <w:jc w:val="center"/>
                  </w:pPr>
                  <w:r>
                    <w:rPr>
                      <w:color w:val="000000"/>
                      <w:sz w:val="24"/>
                    </w:rPr>
                    <w:t>4</w:t>
                  </w:r>
                </w:p>
              </w:tc>
              <w:tc>
                <w:tcPr>
                  <w:tcW w:type="dxa" w:w="399"/>
                  <w:tcBorders>
                    <w:top w:val="none" w:color="000000" w:sz="4"/>
                    <w:left w:val="none" w:color="000000" w:sz="4"/>
                    <w:bottom w:val="single" w:color="000000" w:sz="4"/>
                    <w:right w:val="single" w:color="000000" w:sz="4"/>
                  </w:tcBorders>
                </w:tcPr>
                <w:p>
                  <w:pPr>
                    <w:jc w:val="left"/>
                  </w:pPr>
                  <w:r>
                    <w:rPr>
                      <w:sz w:val="21"/>
                    </w:rPr>
                    <w:t>　</w:t>
                  </w:r>
                </w:p>
              </w:tc>
            </w:tr>
          </w:tbl>
          <w:p>
            <w:pPr>
              <w:jc w:val="both"/>
            </w:pPr>
            <w:r>
              <w:rPr>
                <w:b/>
                <w:color w:val="000000"/>
                <w:sz w:val="24"/>
              </w:rPr>
              <w:t>3</w:t>
            </w:r>
            <w:r>
              <w:rPr>
                <w:b/>
                <w:color w:val="000000"/>
                <w:sz w:val="24"/>
              </w:rPr>
              <w:t>、其他清单</w:t>
            </w:r>
          </w:p>
          <w:tbl>
            <w:tblGrid>
              <w:gridCol w:w="400"/>
              <w:gridCol w:w="857"/>
              <w:gridCol w:w="3142"/>
              <w:gridCol w:w="400"/>
              <w:gridCol w:w="400"/>
              <w:gridCol w:w="400"/>
            </w:tblGrid>
            <w:tr>
              <w:tc>
                <w:tcPr>
                  <w:tcW w:type="dxa" w:w="400"/>
                  <w:tcBorders>
                    <w:top w:val="single" w:color="000000" w:sz="4"/>
                    <w:left w:val="single" w:color="000000" w:sz="4"/>
                    <w:bottom w:val="single" w:color="000000" w:sz="4"/>
                    <w:right w:val="single" w:color="000000" w:sz="4"/>
                  </w:tcBorders>
                </w:tcPr>
                <w:p>
                  <w:pPr>
                    <w:jc w:val="center"/>
                  </w:pPr>
                  <w:r>
                    <w:rPr>
                      <w:b/>
                      <w:color w:val="000000"/>
                      <w:sz w:val="24"/>
                    </w:rPr>
                    <w:t>序号</w:t>
                  </w:r>
                </w:p>
              </w:tc>
              <w:tc>
                <w:tcPr>
                  <w:tcW w:type="dxa" w:w="857"/>
                  <w:tcBorders>
                    <w:top w:val="single" w:color="000000" w:sz="4"/>
                    <w:left w:val="none" w:color="000000" w:sz="4"/>
                    <w:bottom w:val="single" w:color="000000" w:sz="4"/>
                    <w:right w:val="single" w:color="000000" w:sz="4"/>
                  </w:tcBorders>
                </w:tcPr>
                <w:p>
                  <w:pPr>
                    <w:jc w:val="center"/>
                  </w:pPr>
                  <w:r>
                    <w:rPr>
                      <w:b/>
                      <w:color w:val="000000"/>
                      <w:sz w:val="24"/>
                    </w:rPr>
                    <w:t>单项名称</w:t>
                  </w:r>
                </w:p>
              </w:tc>
              <w:tc>
                <w:tcPr>
                  <w:tcW w:type="dxa" w:w="3142"/>
                  <w:tcBorders>
                    <w:top w:val="single" w:color="000000" w:sz="4"/>
                    <w:left w:val="none" w:color="000000" w:sz="4"/>
                    <w:bottom w:val="single" w:color="000000" w:sz="4"/>
                    <w:right w:val="single" w:color="000000" w:sz="4"/>
                  </w:tcBorders>
                </w:tcPr>
                <w:p>
                  <w:pPr>
                    <w:jc w:val="center"/>
                  </w:pPr>
                  <w:r>
                    <w:rPr>
                      <w:b/>
                      <w:color w:val="000000"/>
                      <w:sz w:val="24"/>
                    </w:rPr>
                    <w:t>描述</w:t>
                  </w:r>
                </w:p>
              </w:tc>
              <w:tc>
                <w:tcPr>
                  <w:tcW w:type="dxa" w:w="400"/>
                  <w:tcBorders>
                    <w:top w:val="single" w:color="000000" w:sz="4"/>
                    <w:left w:val="none" w:color="000000" w:sz="4"/>
                    <w:bottom w:val="single" w:color="000000" w:sz="4"/>
                    <w:right w:val="single" w:color="000000" w:sz="4"/>
                  </w:tcBorders>
                </w:tcPr>
                <w:p>
                  <w:pPr>
                    <w:jc w:val="center"/>
                  </w:pPr>
                  <w:r>
                    <w:rPr>
                      <w:b/>
                      <w:color w:val="000000"/>
                      <w:sz w:val="24"/>
                    </w:rPr>
                    <w:t>数量</w:t>
                  </w:r>
                </w:p>
              </w:tc>
              <w:tc>
                <w:tcPr>
                  <w:tcW w:type="dxa" w:w="400"/>
                  <w:tcBorders>
                    <w:top w:val="single" w:color="000000" w:sz="4"/>
                    <w:left w:val="none" w:color="000000" w:sz="4"/>
                    <w:bottom w:val="single" w:color="000000" w:sz="4"/>
                    <w:right w:val="single" w:color="000000" w:sz="4"/>
                  </w:tcBorders>
                </w:tcPr>
                <w:p>
                  <w:pPr>
                    <w:jc w:val="center"/>
                  </w:pPr>
                  <w:r>
                    <w:rPr>
                      <w:b/>
                      <w:color w:val="000000"/>
                      <w:sz w:val="24"/>
                    </w:rPr>
                    <w:t>单位</w:t>
                  </w:r>
                </w:p>
              </w:tc>
              <w:tc>
                <w:tcPr>
                  <w:tcW w:type="dxa" w:w="400"/>
                  <w:tcBorders>
                    <w:top w:val="single" w:color="000000" w:sz="4"/>
                    <w:left w:val="none" w:color="000000" w:sz="4"/>
                    <w:bottom w:val="single" w:color="000000" w:sz="4"/>
                    <w:right w:val="single" w:color="000000" w:sz="4"/>
                  </w:tcBorders>
                </w:tcPr>
                <w:p>
                  <w:pPr>
                    <w:jc w:val="center"/>
                  </w:pPr>
                  <w:r>
                    <w:rPr>
                      <w:b/>
                      <w:color w:val="000000"/>
                      <w:sz w:val="24"/>
                    </w:rPr>
                    <w:t>备注</w:t>
                  </w:r>
                </w:p>
              </w:tc>
            </w:tr>
            <w:tr>
              <w:tc>
                <w:tcPr>
                  <w:tcW w:type="dxa" w:w="400"/>
                  <w:tcBorders>
                    <w:top w:val="none" w:color="000000" w:sz="4"/>
                    <w:left w:val="single" w:color="000000" w:sz="4"/>
                    <w:bottom w:val="single" w:color="000000" w:sz="4"/>
                    <w:right w:val="single" w:color="000000" w:sz="4"/>
                  </w:tcBorders>
                </w:tcPr>
                <w:p>
                  <w:pPr>
                    <w:jc w:val="center"/>
                  </w:pPr>
                  <w:r>
                    <w:rPr>
                      <w:color w:val="000000"/>
                      <w:sz w:val="24"/>
                    </w:rPr>
                    <w:t>1</w:t>
                  </w:r>
                </w:p>
              </w:tc>
              <w:tc>
                <w:tcPr>
                  <w:tcW w:type="dxa" w:w="857"/>
                  <w:tcBorders>
                    <w:top w:val="none" w:color="000000" w:sz="4"/>
                    <w:left w:val="none" w:color="000000" w:sz="4"/>
                    <w:bottom w:val="single" w:color="000000" w:sz="4"/>
                    <w:right w:val="single" w:color="000000" w:sz="4"/>
                  </w:tcBorders>
                </w:tcPr>
                <w:p>
                  <w:pPr>
                    <w:jc w:val="left"/>
                  </w:pPr>
                  <w:r>
                    <w:rPr>
                      <w:color w:val="000000"/>
                      <w:sz w:val="24"/>
                    </w:rPr>
                    <w:t>等保测评费</w:t>
                  </w:r>
                </w:p>
              </w:tc>
              <w:tc>
                <w:tcPr>
                  <w:tcW w:type="dxa" w:w="3142"/>
                  <w:tcBorders>
                    <w:top w:val="none" w:color="000000" w:sz="4"/>
                    <w:left w:val="none" w:color="000000" w:sz="4"/>
                    <w:bottom w:val="single" w:color="000000" w:sz="4"/>
                    <w:right w:val="single" w:color="000000" w:sz="4"/>
                  </w:tcBorders>
                </w:tcPr>
                <w:p>
                  <w:pPr>
                    <w:jc w:val="left"/>
                  </w:pPr>
                  <w:r>
                    <w:rPr>
                      <w:color w:val="000000"/>
                      <w:sz w:val="24"/>
                    </w:rPr>
                    <w:t>等级保护测评按照国家等级保护标准对本系统进行测评，编制等级保护差距测评报告，制定建设整改方案，提供等保测评报告</w:t>
                  </w:r>
                </w:p>
              </w:tc>
              <w:tc>
                <w:tcPr>
                  <w:tcW w:type="dxa" w:w="400"/>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00"/>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400"/>
                  <w:tcBorders>
                    <w:top w:val="none" w:color="000000" w:sz="4"/>
                    <w:left w:val="none" w:color="000000" w:sz="4"/>
                    <w:bottom w:val="single" w:color="000000" w:sz="4"/>
                    <w:right w:val="single" w:color="000000" w:sz="4"/>
                  </w:tcBorders>
                </w:tcPr>
                <w:p>
                  <w:pPr>
                    <w:jc w:val="left"/>
                  </w:pPr>
                  <w:r>
                    <w:rPr>
                      <w:sz w:val="21"/>
                    </w:rPr>
                    <w:t>　</w:t>
                  </w:r>
                </w:p>
              </w:tc>
            </w:tr>
            <w:tr>
              <w:tc>
                <w:tcPr>
                  <w:tcW w:type="dxa" w:w="400"/>
                  <w:tcBorders>
                    <w:top w:val="none" w:color="000000" w:sz="4"/>
                    <w:left w:val="single" w:color="000000" w:sz="4"/>
                    <w:bottom w:val="single" w:color="000000" w:sz="4"/>
                    <w:right w:val="single" w:color="000000" w:sz="4"/>
                  </w:tcBorders>
                </w:tcPr>
                <w:p>
                  <w:pPr>
                    <w:jc w:val="center"/>
                  </w:pPr>
                  <w:r>
                    <w:rPr>
                      <w:color w:val="000000"/>
                      <w:sz w:val="24"/>
                    </w:rPr>
                    <w:t>2</w:t>
                  </w:r>
                </w:p>
              </w:tc>
              <w:tc>
                <w:tcPr>
                  <w:tcW w:type="dxa" w:w="857"/>
                  <w:tcBorders>
                    <w:top w:val="none" w:color="000000" w:sz="4"/>
                    <w:left w:val="none" w:color="000000" w:sz="4"/>
                    <w:bottom w:val="single" w:color="000000" w:sz="4"/>
                    <w:right w:val="single" w:color="000000" w:sz="4"/>
                  </w:tcBorders>
                </w:tcPr>
                <w:p>
                  <w:pPr>
                    <w:jc w:val="left"/>
                  </w:pPr>
                  <w:r>
                    <w:rPr>
                      <w:color w:val="000000"/>
                      <w:sz w:val="24"/>
                    </w:rPr>
                    <w:t>系统集成费</w:t>
                  </w:r>
                </w:p>
              </w:tc>
              <w:tc>
                <w:tcPr>
                  <w:tcW w:type="dxa" w:w="3142"/>
                  <w:tcBorders>
                    <w:top w:val="none" w:color="000000" w:sz="4"/>
                    <w:left w:val="none" w:color="000000" w:sz="4"/>
                    <w:bottom w:val="single" w:color="000000" w:sz="4"/>
                    <w:right w:val="single" w:color="000000" w:sz="4"/>
                  </w:tcBorders>
                </w:tcPr>
                <w:p>
                  <w:pPr>
                    <w:jc w:val="left"/>
                  </w:pPr>
                  <w:r>
                    <w:rPr>
                      <w:color w:val="000000"/>
                      <w:sz w:val="24"/>
                    </w:rPr>
                    <w:t>整体项目系统集成：提供的现场技术支撑、软件产品培训、软件安装及调试等</w:t>
                  </w:r>
                </w:p>
              </w:tc>
              <w:tc>
                <w:tcPr>
                  <w:tcW w:type="dxa" w:w="400"/>
                  <w:tcBorders>
                    <w:top w:val="none" w:color="000000" w:sz="4"/>
                    <w:left w:val="none" w:color="000000" w:sz="4"/>
                    <w:bottom w:val="single" w:color="000000" w:sz="4"/>
                    <w:right w:val="single" w:color="000000" w:sz="4"/>
                  </w:tcBorders>
                </w:tcPr>
                <w:p>
                  <w:pPr>
                    <w:jc w:val="center"/>
                  </w:pPr>
                  <w:r>
                    <w:rPr>
                      <w:color w:val="000000"/>
                      <w:sz w:val="24"/>
                    </w:rPr>
                    <w:t>1</w:t>
                  </w:r>
                </w:p>
              </w:tc>
              <w:tc>
                <w:tcPr>
                  <w:tcW w:type="dxa" w:w="400"/>
                  <w:tcBorders>
                    <w:top w:val="none" w:color="000000" w:sz="4"/>
                    <w:left w:val="none" w:color="000000" w:sz="4"/>
                    <w:bottom w:val="single" w:color="000000" w:sz="4"/>
                    <w:right w:val="single" w:color="000000" w:sz="4"/>
                  </w:tcBorders>
                </w:tcPr>
                <w:p>
                  <w:pPr>
                    <w:jc w:val="center"/>
                  </w:pPr>
                  <w:r>
                    <w:rPr>
                      <w:color w:val="000000"/>
                      <w:sz w:val="24"/>
                    </w:rPr>
                    <w:t>项</w:t>
                  </w:r>
                </w:p>
              </w:tc>
              <w:tc>
                <w:tcPr>
                  <w:tcW w:type="dxa" w:w="400"/>
                  <w:tcBorders>
                    <w:top w:val="none" w:color="000000" w:sz="4"/>
                    <w:left w:val="none" w:color="000000" w:sz="4"/>
                    <w:bottom w:val="single" w:color="000000" w:sz="4"/>
                    <w:right w:val="single" w:color="000000" w:sz="4"/>
                  </w:tcBorders>
                </w:tcPr>
                <w:p>
                  <w:pPr>
                    <w:jc w:val="left"/>
                  </w:pPr>
                  <w:r>
                    <w:rPr>
                      <w:sz w:val="21"/>
                    </w:rPr>
                    <w:t>　</w:t>
                  </w:r>
                </w:p>
              </w:tc>
            </w:tr>
          </w:tbl>
          <w:p/>
          <w:p>
            <w:pPr>
              <w:jc w:val="both"/>
            </w:pPr>
          </w:p>
        </w:tc>
      </w:tr>
      <w:tr>
        <w:tc>
          <w:tcPr>
            <w:tcW w:type="dxa" w:w="2076"/>
          </w:tcPr>
          <w:p>
            <w:r>
              <w:rPr/>
              <w:t>▲</w:t>
            </w:r>
          </w:p>
        </w:tc>
        <w:tc>
          <w:tcPr>
            <w:tcW w:type="dxa" w:w="415"/>
          </w:tcPr>
          <w:p>
            <w:r>
              <w:rPr/>
              <w:t>2</w:t>
            </w:r>
          </w:p>
        </w:tc>
        <w:tc>
          <w:tcPr>
            <w:tcW w:type="dxa" w:w="5814"/>
          </w:tcPr>
          <w:p>
            <w:pPr>
              <w:jc w:val="both"/>
            </w:pPr>
            <w:r>
              <w:rPr>
                <w:b/>
                <w:color w:val="000000"/>
                <w:sz w:val="24"/>
              </w:rPr>
              <w:t>2.</w:t>
            </w:r>
            <w:r>
              <w:rPr>
                <w:b/>
                <w:color w:val="000000"/>
                <w:sz w:val="24"/>
              </w:rPr>
              <w:t>信息基础设施建设清单</w:t>
            </w:r>
          </w:p>
          <w:tbl>
            <w:tblGrid>
              <w:gridCol w:w="399"/>
              <w:gridCol w:w="751"/>
              <w:gridCol w:w="3242"/>
              <w:gridCol w:w="406"/>
              <w:gridCol w:w="399"/>
              <w:gridCol w:w="399"/>
            </w:tblGrid>
            <w:tr>
              <w:tc>
                <w:tcPr>
                  <w:tcW w:type="dxa" w:w="399"/>
                  <w:tcBorders>
                    <w:top w:val="single" w:color="000000" w:sz="4"/>
                    <w:left w:val="single" w:color="000000" w:sz="4"/>
                    <w:bottom w:val="single" w:color="000000" w:sz="4"/>
                    <w:right w:val="single" w:color="000000" w:sz="4"/>
                  </w:tcBorders>
                </w:tcPr>
                <w:p>
                  <w:pPr>
                    <w:jc w:val="center"/>
                  </w:pPr>
                  <w:r>
                    <w:rPr>
                      <w:b/>
                      <w:color w:val="000000"/>
                      <w:sz w:val="24"/>
                    </w:rPr>
                    <w:t>序号</w:t>
                  </w:r>
                </w:p>
              </w:tc>
              <w:tc>
                <w:tcPr>
                  <w:tcW w:type="dxa" w:w="751"/>
                  <w:tcBorders>
                    <w:top w:val="single" w:color="000000" w:sz="4"/>
                    <w:left w:val="none" w:color="000000" w:sz="4"/>
                    <w:bottom w:val="single" w:color="000000" w:sz="4"/>
                    <w:right w:val="single" w:color="000000" w:sz="4"/>
                  </w:tcBorders>
                </w:tcPr>
                <w:p>
                  <w:pPr>
                    <w:jc w:val="center"/>
                  </w:pPr>
                  <w:r>
                    <w:rPr>
                      <w:b/>
                      <w:color w:val="000000"/>
                      <w:sz w:val="24"/>
                    </w:rPr>
                    <w:t>设备名称</w:t>
                  </w:r>
                </w:p>
              </w:tc>
              <w:tc>
                <w:tcPr>
                  <w:tcW w:type="dxa" w:w="3242"/>
                  <w:tcBorders>
                    <w:top w:val="single" w:color="000000" w:sz="4"/>
                    <w:left w:val="none" w:color="000000" w:sz="4"/>
                    <w:bottom w:val="single" w:color="000000" w:sz="4"/>
                    <w:right w:val="single" w:color="000000" w:sz="4"/>
                  </w:tcBorders>
                </w:tcPr>
                <w:p>
                  <w:pPr>
                    <w:jc w:val="center"/>
                  </w:pPr>
                  <w:r>
                    <w:rPr>
                      <w:b/>
                      <w:color w:val="000000"/>
                      <w:sz w:val="24"/>
                    </w:rPr>
                    <w:t>技术参数</w:t>
                  </w:r>
                </w:p>
              </w:tc>
              <w:tc>
                <w:tcPr>
                  <w:tcW w:type="dxa" w:w="406"/>
                  <w:tcBorders>
                    <w:top w:val="single" w:color="000000" w:sz="4"/>
                    <w:left w:val="none" w:color="000000" w:sz="4"/>
                    <w:bottom w:val="single" w:color="000000" w:sz="4"/>
                    <w:right w:val="single" w:color="000000" w:sz="4"/>
                  </w:tcBorders>
                </w:tcPr>
                <w:p>
                  <w:pPr>
                    <w:jc w:val="center"/>
                  </w:pPr>
                  <w:r>
                    <w:rPr>
                      <w:b/>
                      <w:color w:val="000000"/>
                      <w:sz w:val="24"/>
                    </w:rPr>
                    <w:t>单位</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数量</w:t>
                  </w:r>
                </w:p>
              </w:tc>
              <w:tc>
                <w:tcPr>
                  <w:tcW w:type="dxa" w:w="399"/>
                  <w:tcBorders>
                    <w:top w:val="single" w:color="000000" w:sz="4"/>
                    <w:left w:val="none" w:color="000000" w:sz="4"/>
                    <w:bottom w:val="single" w:color="000000" w:sz="4"/>
                    <w:right w:val="single" w:color="000000" w:sz="4"/>
                  </w:tcBorders>
                </w:tcPr>
                <w:p>
                  <w:pPr>
                    <w:jc w:val="center"/>
                  </w:pPr>
                  <w:r>
                    <w:rPr>
                      <w:b/>
                      <w:color w:val="000000"/>
                      <w:sz w:val="24"/>
                    </w:rPr>
                    <w:t>备注</w:t>
                  </w:r>
                </w:p>
              </w:tc>
            </w:tr>
            <w:tr>
              <w:tc>
                <w:tcPr>
                  <w:tcW w:type="dxa" w:w="5596"/>
                  <w:gridSpan w:val="6"/>
                  <w:tcBorders>
                    <w:top w:val="none" w:color="000000" w:sz="4"/>
                    <w:left w:val="single" w:color="000000" w:sz="4"/>
                    <w:bottom w:val="single" w:color="000000" w:sz="4"/>
                    <w:right w:val="single" w:color="000000" w:sz="4"/>
                  </w:tcBorders>
                </w:tcPr>
                <w:p>
                  <w:pPr>
                    <w:jc w:val="left"/>
                  </w:pPr>
                  <w:r>
                    <w:rPr>
                      <w:b/>
                      <w:color w:val="000000"/>
                      <w:sz w:val="24"/>
                    </w:rPr>
                    <w:t>3.</w:t>
                  </w:r>
                  <w:r>
                    <w:rPr>
                      <w:b/>
                      <w:color w:val="000000"/>
                      <w:sz w:val="24"/>
                    </w:rPr>
                    <w:t>视频监控部分</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3</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红外监控枪机</w:t>
                  </w:r>
                </w:p>
              </w:tc>
              <w:tc>
                <w:tcPr>
                  <w:tcW w:type="dxa" w:w="3242"/>
                  <w:tcBorders>
                    <w:top w:val="none" w:color="000000" w:sz="4"/>
                    <w:left w:val="none" w:color="000000" w:sz="4"/>
                    <w:bottom w:val="single" w:color="000000" w:sz="4"/>
                    <w:right w:val="single" w:color="000000" w:sz="4"/>
                  </w:tcBorders>
                  <w:vAlign w:val="top"/>
                </w:tcPr>
                <w:p>
                  <w:pPr>
                    <w:jc w:val="left"/>
                  </w:pPr>
                  <w:r>
                    <w:rPr>
                      <w:b/>
                      <w:color w:val="000000"/>
                      <w:sz w:val="24"/>
                    </w:rPr>
                    <w:t>12</w:t>
                  </w:r>
                  <w:r>
                    <w:rPr>
                      <w:b/>
                      <w:color w:val="000000"/>
                      <w:sz w:val="24"/>
                    </w:rPr>
                    <w:t>、▲具有景深扩展模式选项，在相同图像参数、光圈设置的情况下，开启景深扩展功能，可使景深变大，使前后边缘处看到的景象更清晰，开启景深扩展功能，可使景深纵深至最大化50m；（提供公安部权威检测机构出具的检测报告复印件，并加盖原厂商公章或投标专用章）</w:t>
                  </w:r>
                  <w:r>
                    <w:br/>
                  </w:r>
                  <w:r>
                    <w:rPr>
                      <w:b/>
                      <w:color w:val="000000"/>
                      <w:sz w:val="24"/>
                    </w:rPr>
                    <w:t>13、▲在开启清影功能后，车辆在画面中与镜头监控方向水平夹角为土15°范围内，车牌清晰可正确识别；（提供公安部权威检测机构出具的检测报告复印件，并加盖原厂商公章或投标专用章）</w:t>
                  </w:r>
                  <w:r>
                    <w:br/>
                  </w:r>
                  <w:r>
                    <w:rPr>
                      <w:b/>
                      <w:color w:val="000000"/>
                      <w:sz w:val="24"/>
                    </w:rPr>
                    <w:t>14、▲具有报警输入输出复用功能：报警输入可切换为报警输出。可支持0~3路报警输入，当报警输入切换为报警输出时可最高支持5路报警输出；（提供公安部权威检测机构出具的检测报告复印件，并加盖原厂商公章或投标专用章）</w:t>
                  </w:r>
                  <w:r>
                    <w:br/>
                  </w:r>
                  <w:r>
                    <w:rPr>
                      <w:b/>
                      <w:color w:val="000000"/>
                      <w:sz w:val="24"/>
                    </w:rPr>
                    <w:t>15、▲具有重瞳抓拍功能，在低照度环境下重瞳抓拍功能可自动开启，在混合场景下，可同时分别抓拍清晰的车牌、车辆及人脸；（提供公安部权威检测机构出具的检测报告复印件，并加盖原厂商公章或投标专用章）</w:t>
                  </w:r>
                </w:p>
              </w:tc>
              <w:tc>
                <w:tcPr>
                  <w:tcW w:type="dxa" w:w="406"/>
                  <w:tcBorders>
                    <w:top w:val="none" w:color="000000" w:sz="4"/>
                    <w:left w:val="none" w:color="000000" w:sz="4"/>
                    <w:bottom w:val="single" w:color="000000" w:sz="4"/>
                    <w:right w:val="single" w:color="000000" w:sz="4"/>
                  </w:tcBorders>
                </w:tcPr>
                <w:p>
                  <w:pPr>
                    <w:jc w:val="center"/>
                  </w:pPr>
                </w:p>
              </w:tc>
              <w:tc>
                <w:tcPr>
                  <w:tcW w:type="dxa" w:w="399"/>
                  <w:tcBorders>
                    <w:top w:val="none" w:color="000000" w:sz="4"/>
                    <w:left w:val="none" w:color="000000" w:sz="4"/>
                    <w:bottom w:val="single" w:color="000000" w:sz="4"/>
                    <w:right w:val="single" w:color="000000" w:sz="4"/>
                  </w:tcBorders>
                </w:tcPr>
                <w:p>
                  <w:pPr>
                    <w:jc w:val="center"/>
                  </w:pPr>
                </w:p>
              </w:tc>
              <w:tc>
                <w:tcPr>
                  <w:tcW w:type="dxa" w:w="399"/>
                  <w:tcBorders>
                    <w:top w:val="none" w:color="000000" w:sz="4"/>
                    <w:left w:val="none" w:color="000000" w:sz="4"/>
                    <w:bottom w:val="single" w:color="000000" w:sz="4"/>
                    <w:right w:val="single" w:color="000000" w:sz="4"/>
                  </w:tcBorders>
                </w:tcPr>
                <w:p>
                  <w:pPr>
                    <w:jc w:val="left"/>
                  </w:pPr>
                  <w:r>
                    <w:rPr>
                      <w:sz w:val="21"/>
                    </w:rPr>
                    <w:t>　</w:t>
                  </w:r>
                </w:p>
              </w:tc>
            </w:tr>
            <w:tr>
              <w:tc>
                <w:tcPr>
                  <w:tcW w:type="dxa" w:w="399"/>
                  <w:tcBorders>
                    <w:top w:val="none" w:color="000000" w:sz="4"/>
                    <w:left w:val="single" w:color="000000" w:sz="4"/>
                    <w:bottom w:val="single" w:color="000000" w:sz="4"/>
                    <w:right w:val="single" w:color="000000" w:sz="4"/>
                  </w:tcBorders>
                </w:tcPr>
                <w:p>
                  <w:pPr>
                    <w:jc w:val="center"/>
                  </w:pPr>
                  <w:r>
                    <w:rPr>
                      <w:color w:val="000000"/>
                      <w:sz w:val="24"/>
                    </w:rPr>
                    <w:t>6</w:t>
                  </w:r>
                </w:p>
              </w:tc>
              <w:tc>
                <w:tcPr>
                  <w:tcW w:type="dxa" w:w="751"/>
                  <w:tcBorders>
                    <w:top w:val="none" w:color="000000" w:sz="4"/>
                    <w:left w:val="none" w:color="000000" w:sz="4"/>
                    <w:bottom w:val="single" w:color="000000" w:sz="4"/>
                    <w:right w:val="single" w:color="000000" w:sz="4"/>
                  </w:tcBorders>
                </w:tcPr>
                <w:p>
                  <w:pPr>
                    <w:jc w:val="center"/>
                  </w:pPr>
                  <w:r>
                    <w:rPr>
                      <w:color w:val="000000"/>
                      <w:sz w:val="24"/>
                    </w:rPr>
                    <w:t>磁盘阵列</w:t>
                  </w:r>
                </w:p>
              </w:tc>
              <w:tc>
                <w:tcPr>
                  <w:tcW w:type="dxa" w:w="3242"/>
                  <w:tcBorders>
                    <w:top w:val="none" w:color="000000" w:sz="4"/>
                    <w:left w:val="none" w:color="000000" w:sz="4"/>
                    <w:bottom w:val="single" w:color="000000" w:sz="4"/>
                    <w:right w:val="single" w:color="000000" w:sz="4"/>
                  </w:tcBorders>
                  <w:vAlign w:val="top"/>
                </w:tcPr>
                <w:p>
                  <w:pPr>
                    <w:jc w:val="left"/>
                  </w:pPr>
                  <w:r>
                    <w:rPr>
                      <w:b/>
                      <w:color w:val="000000"/>
                      <w:sz w:val="24"/>
                    </w:rPr>
                    <w:t>7</w:t>
                  </w:r>
                  <w:r>
                    <w:rPr>
                      <w:b/>
                      <w:color w:val="000000"/>
                      <w:sz w:val="24"/>
                    </w:rPr>
                    <w:t>、▲支持专用的存储硬盘， 可升级专用硬盘固件 支持实时监测专用硬盘的健康状态；（提供公安部权威检测机构出具的检测报告复印件，并加盖原厂商公章或投标专用章）</w:t>
                  </w:r>
                  <w:r>
                    <w:br/>
                  </w:r>
                  <w:r>
                    <w:rPr>
                      <w:b/>
                      <w:color w:val="000000"/>
                      <w:sz w:val="24"/>
                    </w:rPr>
                    <w:t>8、▲可对被监测的硬盘健康状态进行分级分类，类别包含“硬盘良好状态”、“硬盘告警状态”、“硬盘错误状态”、“硬盘即将损坏”和“硬盘损坏状态”；（提供公安部权威检测机构出具的检测报告复印件，并加盖原厂商公章或投标专用章）</w:t>
                  </w:r>
                  <w:r>
                    <w:br/>
                  </w:r>
                  <w:r>
                    <w:rPr>
                      <w:b/>
                      <w:color w:val="000000"/>
                      <w:sz w:val="24"/>
                    </w:rPr>
                    <w:t>9、▲支持通过更换板卡方式可支持13个千兆电口，或者5个千兆电口+4个万兆光口，或者9个千兆电口+2个万兆光口；（提供公安部权威检测机构出具的检测报告复印件，并加盖原厂商公章或投标专用章）</w:t>
                  </w:r>
                </w:p>
              </w:tc>
              <w:tc>
                <w:tcPr>
                  <w:tcW w:type="dxa" w:w="406"/>
                  <w:tcBorders>
                    <w:top w:val="none" w:color="000000" w:sz="4"/>
                    <w:left w:val="none" w:color="000000" w:sz="4"/>
                    <w:bottom w:val="single" w:color="000000" w:sz="4"/>
                    <w:right w:val="single" w:color="000000" w:sz="4"/>
                  </w:tcBorders>
                </w:tcPr>
                <w:p>
                  <w:pPr>
                    <w:jc w:val="center"/>
                  </w:pPr>
                </w:p>
              </w:tc>
              <w:tc>
                <w:tcPr>
                  <w:tcW w:type="dxa" w:w="399"/>
                  <w:tcBorders>
                    <w:top w:val="none" w:color="000000" w:sz="4"/>
                    <w:left w:val="none" w:color="000000" w:sz="4"/>
                    <w:bottom w:val="single" w:color="000000" w:sz="4"/>
                    <w:right w:val="single" w:color="000000" w:sz="4"/>
                  </w:tcBorders>
                </w:tcPr>
                <w:p>
                  <w:pPr>
                    <w:jc w:val="center"/>
                  </w:pPr>
                </w:p>
              </w:tc>
              <w:tc>
                <w:tcPr>
                  <w:tcW w:type="dxa" w:w="399"/>
                  <w:tcBorders>
                    <w:top w:val="none" w:color="000000" w:sz="4"/>
                    <w:left w:val="none" w:color="000000" w:sz="4"/>
                    <w:bottom w:val="single" w:color="000000" w:sz="4"/>
                    <w:right w:val="single" w:color="000000" w:sz="4"/>
                  </w:tcBorders>
                </w:tcPr>
                <w:p>
                  <w:pPr>
                    <w:jc w:val="left"/>
                  </w:pPr>
                  <w:r>
                    <w:rPr>
                      <w:sz w:val="21"/>
                    </w:rPr>
                    <w:t>　</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1.采购代理机构：本项目是指河源市万信招标代理有限公司，负责整个采购活动的组织，依法负责编制和发布招标文件，对招标文件拥有最终的解释权，不以任何身份出任评标委员会成员。</w:t>
      </w:r>
    </w:p>
    <w:p>
      <w:pPr>
        <w:ind w:firstLine="480"/>
      </w:pPr>
      <w:r>
        <w:rPr/>
        <w:t>2.采购人：本项目是指</w:t>
      </w:r>
      <w:r>
        <w:rPr/>
        <w:t>河源市公安局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采购包1：保证金人民币：20,000.00元整。</w:t>
            </w:r>
          </w:p>
          <w:p>
            <w:r>
              <w:rPr/>
              <w:t>开户单位：</w:t>
            </w:r>
            <w:r>
              <w:rPr/>
              <w:t>河源市万信招标代理有限公司</w:t>
            </w:r>
          </w:p>
          <w:p>
            <w:r>
              <w:rPr/>
              <w:t>开户账号：</w:t>
            </w:r>
            <w:r>
              <w:rPr/>
              <w:t>944005010002236753</w:t>
            </w:r>
          </w:p>
          <w:p>
            <w:r>
              <w:rPr/>
              <w:t>开户银行：</w:t>
            </w:r>
            <w:r>
              <w:rPr/>
              <w:t>中国邮政储蓄银行股份有限公司东源县支行</w:t>
            </w:r>
          </w:p>
          <w:p>
            <w:r>
              <w:rPr/>
              <w:t>支票提交方式：</w:t>
            </w:r>
            <w:r>
              <w:rPr/>
              <w:t>相关证明材料放入投标文件中</w:t>
            </w:r>
          </w:p>
          <w:p>
            <w:r>
              <w:rPr/>
              <w:t>汇票、本票提交方式：</w:t>
            </w:r>
            <w:r>
              <w:rPr/>
              <w:t>相关证明材料放入投标文件中</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采购机构代理服务收费标准：参照国家发改委（计价格[2002]1980 号）文规定进行收取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河源市万信招标代理有限公司</w:t>
      </w:r>
      <w:r>
        <w:rPr/>
        <w:t>代收。具体操作要求详见</w:t>
      </w:r>
      <w:r>
        <w:rPr/>
        <w:t>河源市万信招标代理有限公司</w:t>
      </w:r>
      <w:r>
        <w:rPr/>
        <w:t>有关指引，递交事宜请自行咨询</w:t>
      </w:r>
      <w:r>
        <w:rPr/>
        <w:t>河源市万信招标代理有限公司</w:t>
      </w:r>
      <w:r>
        <w:rPr/>
        <w:t>；请各投标人在投标文件递交截止时间前按须知前附表规定的金额递交至</w:t>
      </w:r>
      <w:r>
        <w:rPr/>
        <w:t>河源市万信招标代理有限公司</w:t>
      </w:r>
      <w:r>
        <w:rPr/>
        <w:t>，到账情况以开标时</w:t>
      </w:r>
      <w:r>
        <w:rPr/>
        <w:t>河源市万信招标代理有限公司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叶泓辰</w:t>
      </w:r>
    </w:p>
    <w:p>
      <w:pPr>
        <w:ind w:firstLine="480"/>
      </w:pPr>
      <w:r>
        <w:rPr/>
        <w:t>电话：</w:t>
      </w:r>
      <w:r>
        <w:rPr/>
        <w:t>17817918088</w:t>
      </w:r>
    </w:p>
    <w:p>
      <w:pPr>
        <w:ind w:firstLine="480"/>
      </w:pPr>
      <w:r>
        <w:rPr/>
        <w:t>传真：</w:t>
      </w:r>
      <w:r>
        <w:rPr/>
        <w:t>0762-3300039</w:t>
      </w:r>
    </w:p>
    <w:p>
      <w:pPr>
        <w:ind w:firstLine="480"/>
      </w:pPr>
      <w:r>
        <w:rPr/>
        <w:t>邮箱：</w:t>
      </w:r>
      <w:r>
        <w:rPr/>
        <w:t>564337975@qq.com</w:t>
      </w:r>
    </w:p>
    <w:p>
      <w:pPr>
        <w:ind w:firstLine="480"/>
      </w:pPr>
      <w:r>
        <w:rPr/>
        <w:t>地址：</w:t>
      </w:r>
      <w:r>
        <w:rPr/>
        <w:t>河源市新市区纬十一路北边大同路东面大同综合市场3层B7</w:t>
      </w:r>
    </w:p>
    <w:p>
      <w:pPr>
        <w:ind w:firstLine="480"/>
      </w:pPr>
      <w:r>
        <w:rPr/>
        <w:t>邮编：</w:t>
      </w:r>
      <w:r>
        <w:rPr/>
        <w:t>517000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政府采购监督管理机构名称：河源市财政局政府采购监管科</w:t>
      </w:r>
    </w:p>
    <w:p>
      <w:r>
        <w:rPr/>
        <w:t>地  址：河源市源城区益民街8号</w:t>
      </w:r>
    </w:p>
    <w:p>
      <w:r>
        <w:rPr/>
        <w:t>电  话：0762－3388372</w:t>
      </w:r>
    </w:p>
    <w:p>
      <w:r>
        <w:rPr/>
        <w:t>邮  编：517000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采购包1(河源市公安局交警支队205国道科技示范 公路项目)：综合评分法,是指投标文件满足招标文件全部实质性要求，且按照评审因素的量化指标评审得分最高的投标人为中标候选人的评标方法。（最低报价不是中标的唯一依据。）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河源市万信招标代理有限公司</w:t>
      </w:r>
      <w:r>
        <w:rPr/>
        <w:t>统一对外发布。</w:t>
      </w:r>
    </w:p>
    <w:p>
      <w:pPr>
        <w:ind w:firstLine="480"/>
      </w:pPr>
      <w:r>
        <w:rPr/>
        <w:t>（2）对</w:t>
      </w:r>
      <w:r>
        <w:rPr/>
        <w:t>河源市万信招标代理有限公司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采购包1（河源市公安局交警支队205国道科技示范 公路项目）：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采购包1（河源市公安局交警支队205国道科技示范 公路项目）：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有独立承担民事责任能力的在中华人民共和国境内注册的法人或其他组织；（分支机构投标的，须取得具有法人资格的总公司出具给分支机构的授权书，并提供总公司和分公司营业执照复印件。已由总公司授权的，总公司取得的相关资质证书对分支机构有效，法律法规或者行业另有规定的除外。）；</w:t>
            </w:r>
          </w:p>
        </w:tc>
      </w:tr>
      <w:tr>
        <w:tc>
          <w:tcPr>
            <w:tcW w:type="dxa" w:w="890"/>
          </w:tcPr>
          <w:p>
            <w:r>
              <w:rPr/>
              <w:t>2</w:t>
            </w:r>
          </w:p>
        </w:tc>
        <w:tc>
          <w:tcPr>
            <w:tcW w:type="dxa" w:w="3178"/>
          </w:tcPr>
          <w:p>
            <w:r>
              <w:rPr/>
              <w:t>具有良好的商业信誉和健全的财务会计制度</w:t>
            </w:r>
          </w:p>
        </w:tc>
        <w:tc>
          <w:tcPr>
            <w:tcW w:type="dxa" w:w="4238"/>
          </w:tcPr>
          <w:p>
            <w:r>
              <w:rPr/>
              <w:t>具有良好的商业信誉和健全的财务会计制度（提供2021年的年度财务状况报表或基本开户行出具的资信证明，若供应商新注册的，则提供成立至今的月或季度财务状况报告）；</w:t>
            </w:r>
          </w:p>
        </w:tc>
      </w:tr>
      <w:tr>
        <w:tc>
          <w:tcPr>
            <w:tcW w:type="dxa" w:w="890"/>
          </w:tcPr>
          <w:p>
            <w:r>
              <w:rPr/>
              <w:t>3</w:t>
            </w:r>
          </w:p>
        </w:tc>
        <w:tc>
          <w:tcPr>
            <w:tcW w:type="dxa" w:w="3178"/>
          </w:tcPr>
          <w:p>
            <w:r>
              <w:rPr/>
              <w:t>履行合同所必需的设备和专业技术能力</w:t>
            </w:r>
          </w:p>
        </w:tc>
        <w:tc>
          <w:tcPr>
            <w:tcW w:type="dxa" w:w="4238"/>
          </w:tcPr>
          <w:p>
            <w:r>
              <w:rPr/>
              <w:t>具有履行合同所必需的设备和专业技术能力（提供承诺函）；</w:t>
            </w:r>
          </w:p>
        </w:tc>
      </w:tr>
      <w:tr>
        <w:tc>
          <w:tcPr>
            <w:tcW w:type="dxa" w:w="890"/>
          </w:tcPr>
          <w:p>
            <w:r>
              <w:rPr/>
              <w:t>4</w:t>
            </w:r>
          </w:p>
        </w:tc>
        <w:tc>
          <w:tcPr>
            <w:tcW w:type="dxa" w:w="3178"/>
          </w:tcPr>
          <w:p>
            <w:r>
              <w:rPr/>
              <w:t>有依法缴纳税收和社会保障资金的良好记录</w:t>
            </w:r>
          </w:p>
        </w:tc>
        <w:tc>
          <w:tcPr>
            <w:tcW w:type="dxa" w:w="4238"/>
          </w:tcPr>
          <w:p>
            <w:r>
              <w:rPr/>
              <w:t>有依法缴纳税收和社会保障资金的良好记录（提供投标截止时间前6个月内任意一个月份有依法缴纳税收和社会保障资金的相关材料，如依法免税或不需要缴纳社会保障资金的，应提供相应文件证明）；</w:t>
            </w:r>
          </w:p>
        </w:tc>
      </w:tr>
      <w:tr>
        <w:tc>
          <w:tcPr>
            <w:tcW w:type="dxa" w:w="890"/>
          </w:tcPr>
          <w:p>
            <w:r>
              <w:rPr/>
              <w:t>5</w:t>
            </w:r>
          </w:p>
        </w:tc>
        <w:tc>
          <w:tcPr>
            <w:tcW w:type="dxa" w:w="3178"/>
          </w:tcPr>
          <w:p>
            <w:r>
              <w:rPr/>
              <w:t>参加采购活动前3年内，在经营活动中没有重大违法记录</w:t>
            </w:r>
          </w:p>
        </w:tc>
        <w:tc>
          <w:tcPr>
            <w:tcW w:type="dxa" w:w="4238"/>
          </w:tcPr>
          <w:p>
            <w:r>
              <w:rPr/>
              <w:t>参加政府采购活动前三年内，在经营活动中没有重大违法记录（提供书面声明）</w:t>
            </w:r>
          </w:p>
        </w:tc>
      </w:tr>
      <w:tr>
        <w:tc>
          <w:tcPr>
            <w:tcW w:type="dxa" w:w="890"/>
          </w:tcPr>
          <w:p>
            <w:r>
              <w:rPr/>
              <w:t>6</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7</w:t>
            </w:r>
          </w:p>
        </w:tc>
        <w:tc>
          <w:tcPr>
            <w:tcW w:type="dxa" w:w="3178"/>
          </w:tcPr>
          <w:p>
            <w:r>
              <w:rPr/>
              <w:t>信用记录</w:t>
            </w:r>
          </w:p>
        </w:tc>
        <w:tc>
          <w:tcPr>
            <w:tcW w:type="dxa" w:w="4238"/>
          </w:tcPr>
          <w:p>
            <w:r>
              <w:rPr/>
              <w:t>投标供应商未被列入“信用中国”网站(www.creditchina.gov.cn)以下任何记录名单之一：①失信被执行人（http://zxgk.court.gov.cn/）；②重大税收违法失信主体；③政府采购严重违法失信行为。同时，不处于中国政府采购网(www.ccgp.gov.cn)“政府采购严重违法失信行为信息记录”中的禁止参加政府采购活动期间。。说明:1)由采购代理机构于投标截止日在“信用中国”网站(www.creditchina.gov.cn)及中国政府采购网(www.ccgp.gov.cn)查询结果为准。如相关失信记录已失效，供应商需提供相关证明资料。2)采购代理机构同时对信用信息查询记录和证据截图或下载存档；</w:t>
            </w:r>
          </w:p>
        </w:tc>
      </w:tr>
    </w:tbl>
    <w:p/>
    <w:p>
      <w:pPr>
        <w:ind w:firstLine="480"/>
      </w:pPr>
      <w:r>
        <w:rPr/>
        <w:t>表二符合性审查表：</w:t>
      </w:r>
    </w:p>
    <w:p>
      <w:pPr>
        <w:ind w:firstLine="480"/>
      </w:pPr>
    </w:p>
    <w:p/>
    <w:p>
      <w:r>
        <w:rPr/>
        <w:t>采购包1（河源市公安局交警支队205国道科技示范 公路项目）：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投标保证金</w:t>
            </w:r>
          </w:p>
        </w:tc>
        <w:tc>
          <w:tcPr>
            <w:tcW w:type="dxa" w:w="4238"/>
          </w:tcPr>
          <w:p>
            <w:r>
              <w:rPr/>
              <w:t>保证金已符合采购文件要求并足额提交</w:t>
            </w:r>
          </w:p>
        </w:tc>
      </w:tr>
      <w:tr>
        <w:tc>
          <w:tcPr>
            <w:tcW w:type="dxa" w:w="890"/>
          </w:tcPr>
          <w:p>
            <w:r>
              <w:rPr/>
              <w:t>2</w:t>
            </w:r>
          </w:p>
        </w:tc>
        <w:tc>
          <w:tcPr>
            <w:tcW w:type="dxa" w:w="3178"/>
          </w:tcPr>
          <w:p>
            <w:r>
              <w:rPr/>
              <w:t>投标文件签字授权</w:t>
            </w:r>
          </w:p>
        </w:tc>
        <w:tc>
          <w:tcPr>
            <w:tcW w:type="dxa" w:w="4238"/>
          </w:tcPr>
          <w:p>
            <w:r>
              <w:rPr/>
              <w:t>投标文件签字人非法定代表人的须提供法定代表人的有效授权</w:t>
            </w:r>
          </w:p>
        </w:tc>
      </w:tr>
      <w:tr>
        <w:tc>
          <w:tcPr>
            <w:tcW w:type="dxa" w:w="890"/>
          </w:tcPr>
          <w:p>
            <w:r>
              <w:rPr/>
              <w:t>3</w:t>
            </w:r>
          </w:p>
        </w:tc>
        <w:tc>
          <w:tcPr>
            <w:tcW w:type="dxa" w:w="3178"/>
          </w:tcPr>
          <w:p>
            <w:r>
              <w:rPr/>
              <w:t>投标文件的签署及盖章</w:t>
            </w:r>
          </w:p>
        </w:tc>
        <w:tc>
          <w:tcPr>
            <w:tcW w:type="dxa" w:w="4238"/>
          </w:tcPr>
          <w:p>
            <w:r>
              <w:rPr/>
              <w:t>投标文件是符合采购文件的要求</w:t>
            </w:r>
          </w:p>
        </w:tc>
      </w:tr>
      <w:tr>
        <w:tc>
          <w:tcPr>
            <w:tcW w:type="dxa" w:w="890"/>
          </w:tcPr>
          <w:p>
            <w:r>
              <w:rPr/>
              <w:t>4</w:t>
            </w:r>
          </w:p>
        </w:tc>
        <w:tc>
          <w:tcPr>
            <w:tcW w:type="dxa" w:w="3178"/>
          </w:tcPr>
          <w:p>
            <w:r>
              <w:rPr/>
              <w:t>投标有效期</w:t>
            </w:r>
          </w:p>
        </w:tc>
        <w:tc>
          <w:tcPr>
            <w:tcW w:type="dxa" w:w="4238"/>
          </w:tcPr>
          <w:p>
            <w:r>
              <w:rPr/>
              <w:t>投标有效期符合采购文件的要求</w:t>
            </w:r>
          </w:p>
        </w:tc>
      </w:tr>
      <w:tr>
        <w:tc>
          <w:tcPr>
            <w:tcW w:type="dxa" w:w="890"/>
          </w:tcPr>
          <w:p>
            <w:r>
              <w:rPr/>
              <w:t>5</w:t>
            </w:r>
          </w:p>
        </w:tc>
        <w:tc>
          <w:tcPr>
            <w:tcW w:type="dxa" w:w="3178"/>
          </w:tcPr>
          <w:p>
            <w:r>
              <w:rPr/>
              <w:t>投标文件是符合采购文件的要求</w:t>
            </w:r>
          </w:p>
        </w:tc>
        <w:tc>
          <w:tcPr>
            <w:tcW w:type="dxa" w:w="4238"/>
          </w:tcPr>
          <w:p>
            <w:r>
              <w:rPr/>
              <w:t>符合★号条款，商务和技术响应内容没有严重偏离采购需求</w:t>
            </w:r>
          </w:p>
        </w:tc>
      </w:tr>
      <w:tr>
        <w:tc>
          <w:tcPr>
            <w:tcW w:type="dxa" w:w="890"/>
          </w:tcPr>
          <w:p>
            <w:r>
              <w:rPr/>
              <w:t>6</w:t>
            </w:r>
          </w:p>
        </w:tc>
        <w:tc>
          <w:tcPr>
            <w:tcW w:type="dxa" w:w="3178"/>
          </w:tcPr>
          <w:p>
            <w:r>
              <w:rPr/>
              <w:t>报价</w:t>
            </w:r>
          </w:p>
        </w:tc>
        <w:tc>
          <w:tcPr>
            <w:tcW w:type="dxa" w:w="4238"/>
          </w:tcPr>
          <w:p>
            <w:r>
              <w:rPr/>
              <w:t>1.报价是固定不变价； 2.报价无明显不合理或低于合理成本价； 3.报价没有超出采购预算；</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采购包1河源市公安局交警支队205国道科技示范 公路项目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(40.0分)</w:t>
            </w:r>
          </w:p>
        </w:tc>
        <w:tc>
          <w:tcPr>
            <w:tcW w:type="dxa" w:w="5076"/>
          </w:tcPr>
          <w:p>
            <w:pPr>
              <w:jc w:val="left"/>
            </w:pPr>
            <w:r>
              <w:rPr/>
              <w:t>根据投标人投标产品技术参数完全满足或优于招标文件要求进行评审： 投标产品技术参数中带“▲”号指标每满足1项采购要求得2分；最高得40分。 注：带“▲”号指标技术参数的响应，须提供技术参数要求提供的相应证明材料并盖原厂章，无则视为不响应。</w:t>
            </w:r>
          </w:p>
        </w:tc>
      </w:tr>
      <w:tr>
        <w:tc>
          <w:tcPr>
            <w:tcW w:type="dxa" w:w="922"/>
            <w:gridSpan w:val="2"/>
            <w:vMerge/>
          </w:tcPr>
          <w:p/>
        </w:tc>
        <w:tc>
          <w:tcPr>
            <w:tcW w:type="dxa" w:w="2307"/>
          </w:tcPr>
          <w:p>
            <w:pPr>
              <w:jc w:val="left"/>
            </w:pPr>
            <w:r>
              <w:rPr/>
              <w:t>项目技术服务方案 (10.0分)</w:t>
            </w:r>
          </w:p>
        </w:tc>
        <w:tc>
          <w:tcPr>
            <w:tcW w:type="dxa" w:w="5076"/>
          </w:tcPr>
          <w:p>
            <w:pPr>
              <w:jc w:val="left"/>
            </w:pPr>
            <w:r>
              <w:rPr/>
              <w:t>根据投标人对本项目采购需求中制定的项目技术服务方案合理性，可行性，质量保证等进行评审： （1）方案思路非常清晰、技术路线非常合理、内容齐全、完全符合项目实际、合理性和可操作性强，能最大程度的保障项目按时、按质、按量完成并交付使用的，得10分； （2）方案思路清晰、技术路线合理、内容齐全、符合项目实际、合理性和可操作性较强，能按时、按质、按量完成并交付使用的，得6分； （3）方案思路不清晰、技术路线一般、内容齐全、合理性或没有可操作性的，得2分； （4）未提供不得分。 注：方案必须体现以上评审内容，否则不得分。</w:t>
            </w:r>
          </w:p>
        </w:tc>
      </w:tr>
      <w:tr>
        <w:tc>
          <w:tcPr>
            <w:tcW w:type="dxa" w:w="922"/>
            <w:gridSpan w:val="2"/>
            <w:vMerge w:val="restart"/>
          </w:tcPr>
          <w:p>
            <w:pPr>
              <w:jc w:val="center"/>
            </w:pPr>
            <w:r>
              <w:rPr/>
              <w:t>商务部分</w:t>
            </w:r>
          </w:p>
        </w:tc>
        <w:tc>
          <w:tcPr>
            <w:tcW w:type="dxa" w:w="2307"/>
          </w:tcPr>
          <w:p>
            <w:pPr>
              <w:jc w:val="left"/>
            </w:pPr>
            <w:r>
              <w:rPr/>
              <w:t>企业管理体系认证情况 (5.0分)</w:t>
            </w:r>
          </w:p>
        </w:tc>
        <w:tc>
          <w:tcPr>
            <w:tcW w:type="dxa" w:w="5076"/>
          </w:tcPr>
          <w:p>
            <w:pPr>
              <w:jc w:val="left"/>
            </w:pPr>
            <w:r>
              <w:rPr/>
              <w:t>投标人具有有效期内的ISO9001质量管理体系认证证书、ISO27001信息安全管理体系认证证书、ISO14001环境管理体系认证证书、ITSS信息技术服务运行维护标准符合性证书、服务质量评价体系认证证书的，每提供一项得1分，最高得5分。 注：须提供相应证明文件复印件或扫描件，未提供或者提供不清晰导致专家无法判定的不得分。</w:t>
            </w:r>
          </w:p>
        </w:tc>
      </w:tr>
      <w:tr>
        <w:tc>
          <w:tcPr>
            <w:tcW w:type="dxa" w:w="922"/>
            <w:gridSpan w:val="2"/>
            <w:vMerge/>
          </w:tcPr>
          <w:p/>
        </w:tc>
        <w:tc>
          <w:tcPr>
            <w:tcW w:type="dxa" w:w="2307"/>
          </w:tcPr>
          <w:p>
            <w:pPr>
              <w:jc w:val="left"/>
            </w:pPr>
            <w:r>
              <w:rPr/>
              <w:t>企业实力 (5.0分)</w:t>
            </w:r>
          </w:p>
        </w:tc>
        <w:tc>
          <w:tcPr>
            <w:tcW w:type="dxa" w:w="5076"/>
          </w:tcPr>
          <w:p>
            <w:pPr>
              <w:jc w:val="left"/>
            </w:pPr>
            <w:r>
              <w:rPr/>
              <w:t>投标人具有有效期内安全生产许可证、信息系统建设和服务能力评估认证、信息安全服务资质证书（运维方向）、信息安全服务资质证书（软件开发方向）、数据安全治理能力证书的，每提供一项得1分，最高得5分。 注：须提供相应证明文件复印件或扫描件，未提供或者提供不清晰导致专家无法判定的不得分。</w:t>
            </w:r>
          </w:p>
        </w:tc>
      </w:tr>
      <w:tr>
        <w:tc>
          <w:tcPr>
            <w:tcW w:type="dxa" w:w="922"/>
            <w:gridSpan w:val="2"/>
            <w:vMerge/>
          </w:tcPr>
          <w:p/>
        </w:tc>
        <w:tc>
          <w:tcPr>
            <w:tcW w:type="dxa" w:w="2307"/>
          </w:tcPr>
          <w:p>
            <w:pPr>
              <w:jc w:val="left"/>
            </w:pPr>
            <w:r>
              <w:rPr/>
              <w:t>项目管理机构人员 (5.0分)</w:t>
            </w:r>
          </w:p>
        </w:tc>
        <w:tc>
          <w:tcPr>
            <w:tcW w:type="dxa" w:w="5076"/>
          </w:tcPr>
          <w:p>
            <w:pPr>
              <w:jc w:val="left"/>
            </w:pPr>
            <w:r>
              <w:rPr/>
              <w:t>（1）项目经理（3分）： ①具有PMP/IPMP项目管理认证证书；②ITIL证书；③系统规划与管理师证书；每提供一个得1分，最高得3分，没有不得分。 （2）项目组成员中（除项目经理外）（2分）： ①同时具有注册信息安全专业人员证书（CISP）和系统规划与管理师证书的人员得0.5分，没有不得分。 ②具有系统集成项目管理工程师证书的人员得0.5分，没有不得分。 ③同时具有注册信息安全专业人员证书（CISP）和信息系统项目管理师证书的人员得0.5分，没有不得分。 ④具有PMP/IPMP项目管理认证证书和ITIL证书的人员得0.5分。 注：以上同一人具有多种证书只能计一次分，不重复计算。①须提供相应证书及其本单位近6个月任意一个月（以发布采购公告之日止）缴纳社保的证明材料复印件或扫描件并加盖投标人公章，不提供或资料不全不得分。②关于社保证明：A：因疫情受国家政策支持，属于减免社保或暂缓社保缴纳的供应商，须在响应文件中提供相关证明材料，视为对应月份已经缴纳社保，不提供不得分。B：按国家相关规定无需缴纳社保的，须在响应文件中提供相关证明材料，视为对应月份已经缴纳社保，不提供不得分。</w:t>
            </w:r>
          </w:p>
        </w:tc>
      </w:tr>
      <w:tr>
        <w:tc>
          <w:tcPr>
            <w:tcW w:type="dxa" w:w="922"/>
            <w:gridSpan w:val="2"/>
            <w:vMerge/>
          </w:tcPr>
          <w:p/>
        </w:tc>
        <w:tc>
          <w:tcPr>
            <w:tcW w:type="dxa" w:w="2307"/>
          </w:tcPr>
          <w:p>
            <w:pPr>
              <w:jc w:val="left"/>
            </w:pPr>
            <w:r>
              <w:rPr/>
              <w:t>售后服务方案 (5.0分)</w:t>
            </w:r>
          </w:p>
        </w:tc>
        <w:tc>
          <w:tcPr>
            <w:tcW w:type="dxa" w:w="5076"/>
          </w:tcPr>
          <w:p>
            <w:pPr>
              <w:jc w:val="left"/>
            </w:pPr>
            <w:r>
              <w:rPr/>
              <w:t>根据投标人对本项目采购需求中制定的售后服务方案（包括但不限于：售后服务规划/计划、响应便利度、服务流程、人员安排、保质期、技术培训、服务承诺等内容）进行综合评审： （1）方案非常明确、详尽，合理，可操作性非常强的得5分； （2）方案较明确、详尽，合理，可操作性较强的得3分； （3）方案基本明确、合理，可操作性一般的得1分； （4）方案模糊，无具体内容或未提供方案，得0分。 注：方案必须体现以上评审内容，否则不得分。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color w:val="000000"/>
          <w:sz w:val="72"/>
        </w:rPr>
        <w:t>政府采购合同书</w:t>
      </w:r>
    </w:p>
    <w:p>
      <w:pPr>
        <w:jc w:val="center"/>
      </w:pPr>
    </w:p>
    <w:p>
      <w:pPr>
        <w:jc w:val="center"/>
      </w:pPr>
    </w:p>
    <w:p>
      <w:pPr>
        <w:jc w:val="center"/>
      </w:pPr>
    </w:p>
    <w:p>
      <w:pPr>
        <w:jc w:val="center"/>
      </w:pPr>
    </w:p>
    <w:tbl>
      <w:tblPr>
        <w:tblW w:w="0" w:type="auto"/>
        <w:tblBorders>
          <w:top w:val="single"/>
          <w:left w:val="single"/>
          <w:bottom w:val="single"/>
          <w:right w:val="single"/>
          <w:insideH w:val="single"/>
          <w:insideV w:val="single"/>
        </w:tblBorders>
      </w:tblPr>
      <w:tblGrid>
        <w:gridCol w:w="8306"/>
      </w:tblGrid>
      <w:tr>
        <w:tc>
          <w:tcPr>
            <w:tcW w:type="dxa" w:w="8306"/>
            <w:vAlign w:val="top"/>
          </w:tcPr>
          <w:p>
            <w:pPr>
              <w:jc w:val="both"/>
            </w:pPr>
            <w:r>
              <w:rPr>
                <w:b/>
                <w:color w:val="000000"/>
                <w:sz w:val="28"/>
              </w:rPr>
              <w:t>项目编号：</w:t>
            </w:r>
          </w:p>
        </w:tc>
      </w:tr>
      <w:tr>
        <w:tc>
          <w:tcPr>
            <w:tcW w:type="dxa" w:w="8306"/>
            <w:vAlign w:val="top"/>
          </w:tcPr>
          <w:p>
            <w:pPr>
              <w:jc w:val="both"/>
            </w:pPr>
          </w:p>
        </w:tc>
      </w:tr>
      <w:tr>
        <w:tc>
          <w:tcPr>
            <w:tcW w:type="dxa" w:w="8306"/>
            <w:vAlign w:val="top"/>
          </w:tcPr>
          <w:p>
            <w:pPr>
              <w:jc w:val="both"/>
            </w:pPr>
            <w:r>
              <w:rPr>
                <w:b/>
                <w:color w:val="000000"/>
                <w:sz w:val="28"/>
              </w:rPr>
              <w:t>项目名称：</w:t>
            </w:r>
          </w:p>
        </w:tc>
      </w:tr>
      <w:tr>
        <w:tc>
          <w:tcPr>
            <w:tcW w:type="dxa" w:w="8306"/>
            <w:vAlign w:val="top"/>
          </w:tcPr>
          <w:p>
            <w:pPr>
              <w:jc w:val="both"/>
            </w:pPr>
          </w:p>
        </w:tc>
      </w:tr>
    </w:tbl>
    <w:p>
      <w:pPr>
        <w:jc w:val="both"/>
      </w:pPr>
    </w:p>
    <w:p>
      <w:pPr>
        <w:jc w:val="both"/>
      </w:pPr>
    </w:p>
    <w:p>
      <w:pPr>
        <w:ind w:firstLine="366"/>
        <w:jc w:val="both"/>
      </w:pPr>
      <w:r>
        <w:rPr>
          <w:b/>
          <w:color w:val="000000"/>
          <w:sz w:val="24"/>
        </w:rPr>
        <w:t>注：本合同仅为合同的参考文本，合同签订双方可根据项目的具体要求进行修订，</w:t>
      </w:r>
      <w:r>
        <w:rPr>
          <w:b/>
          <w:color w:val="000000"/>
          <w:sz w:val="24"/>
          <w:u w:val="single"/>
        </w:rPr>
        <w:t>但合同条款不得与招标文件和中标人投标文件有实质性偏离。</w:t>
      </w:r>
    </w:p>
    <w:p>
      <w:pPr>
        <w:jc w:val="both"/>
      </w:pPr>
    </w:p>
    <w:p/>
    <w:p>
      <w:pPr>
        <w:jc w:val="both"/>
      </w:pPr>
      <w:r>
        <w:rPr>
          <w:b/>
          <w:color w:val="000000"/>
          <w:sz w:val="24"/>
        </w:rPr>
        <w:t>甲  方（采购人）：</w:t>
      </w:r>
    </w:p>
    <w:p>
      <w:pPr>
        <w:jc w:val="both"/>
      </w:pPr>
      <w:r>
        <w:rPr>
          <w:b/>
          <w:color w:val="000000"/>
          <w:sz w:val="24"/>
        </w:rPr>
        <w:t>乙  方（供应方）：</w:t>
      </w:r>
    </w:p>
    <w:p>
      <w:pPr>
        <w:ind w:firstLine="486"/>
        <w:jc w:val="both"/>
      </w:pPr>
    </w:p>
    <w:p>
      <w:pPr>
        <w:ind w:firstLine="486"/>
        <w:jc w:val="both"/>
      </w:pPr>
      <w:r>
        <w:rPr>
          <w:color w:val="000000"/>
          <w:sz w:val="24"/>
        </w:rPr>
        <w:t>根据《中华人民共和国民法典》、《中华人民共和国政府采购法》</w:t>
      </w:r>
      <w:r>
        <w:rPr>
          <w:color w:val="000000"/>
          <w:sz w:val="24"/>
        </w:rPr>
        <w:t>、广东省实施《中华人民共和国政府采购法》办法的有关规定</w:t>
      </w:r>
      <w:r>
        <w:rPr>
          <w:color w:val="000000"/>
          <w:sz w:val="24"/>
        </w:rPr>
        <w:t>以及</w:t>
      </w:r>
      <w:r>
        <w:rPr>
          <w:b/>
          <w:color w:val="000000"/>
          <w:sz w:val="24"/>
          <w:u w:val="single"/>
        </w:rPr>
        <w:t>河源市公安局交警支队205国道科技示范公路项目</w:t>
      </w:r>
      <w:r>
        <w:rPr>
          <w:color w:val="000000"/>
          <w:sz w:val="24"/>
        </w:rPr>
        <w:t>招标文件（项目编号：，采购代理机构：）的要求的招标结果，经双方协商，本着平等互利和诚实信用的</w:t>
      </w:r>
      <w:r>
        <w:rPr>
          <w:color w:val="000000"/>
          <w:sz w:val="24"/>
        </w:rPr>
        <w:t>原则，一致同意签订本合同如</w:t>
      </w:r>
      <w:r>
        <w:rPr>
          <w:color w:val="000000"/>
          <w:sz w:val="24"/>
        </w:rPr>
        <w:t>下。</w:t>
      </w:r>
    </w:p>
    <w:p>
      <w:pPr>
        <w:ind w:firstLine="488"/>
        <w:jc w:val="both"/>
      </w:pPr>
      <w:r>
        <w:rPr>
          <w:b/>
          <w:color w:val="000000"/>
          <w:sz w:val="24"/>
        </w:rPr>
        <w:t>第一条 货物内容</w:t>
      </w:r>
    </w:p>
    <w:tbl>
      <w:tblPr>
        <w:tblW w:w="0" w:type="auto"/>
        <w:tblBorders>
          <w:top w:val="none" w:color="000000" w:sz="4"/>
          <w:left w:val="none" w:color="000000" w:sz="4"/>
          <w:bottom w:val="none" w:color="000000" w:sz="4"/>
          <w:right w:val="none" w:color="000000" w:sz="4"/>
          <w:insideH w:val="none"/>
          <w:insideV w:val="none"/>
        </w:tblBorders>
      </w:tblPr>
      <w:tblGrid>
        <w:gridCol w:w="600"/>
        <w:gridCol w:w="1414"/>
        <w:gridCol w:w="2261"/>
        <w:gridCol w:w="771"/>
        <w:gridCol w:w="771"/>
        <w:gridCol w:w="1286"/>
        <w:gridCol w:w="1178"/>
        <w:gridCol w:w="10"/>
      </w:tblGrid>
      <w:tr>
        <w:tc>
          <w:tcPr>
            <w:tcW w:type="dxa" w:w="600"/>
            <w:tcBorders>
              <w:top w:val="single" w:color="000000" w:sz="4"/>
              <w:left w:val="single" w:color="000000" w:sz="4"/>
              <w:bottom w:val="single" w:color="000000" w:sz="4"/>
              <w:right w:val="single" w:color="000000" w:sz="4"/>
            </w:tcBorders>
          </w:tcPr>
          <w:p>
            <w:pPr>
              <w:jc w:val="center"/>
            </w:pPr>
            <w:r>
              <w:rPr>
                <w:color w:val="000000"/>
                <w:sz w:val="24"/>
              </w:rPr>
              <w:t>序号</w:t>
            </w:r>
          </w:p>
        </w:tc>
        <w:tc>
          <w:tcPr>
            <w:tcW w:type="dxa" w:w="1414"/>
            <w:tcBorders>
              <w:top w:val="single" w:color="000000" w:sz="4"/>
              <w:left w:val="none" w:color="000000" w:sz="4"/>
              <w:bottom w:val="single" w:color="000000" w:sz="4"/>
              <w:right w:val="single" w:color="000000" w:sz="4"/>
            </w:tcBorders>
          </w:tcPr>
          <w:p>
            <w:pPr>
              <w:jc w:val="center"/>
            </w:pPr>
            <w:r>
              <w:rPr>
                <w:color w:val="000000"/>
                <w:sz w:val="24"/>
              </w:rPr>
              <w:t>货物名称</w:t>
            </w:r>
          </w:p>
        </w:tc>
        <w:tc>
          <w:tcPr>
            <w:tcW w:type="dxa" w:w="2261"/>
            <w:tcBorders>
              <w:top w:val="single" w:color="000000" w:sz="4"/>
              <w:left w:val="none" w:color="000000" w:sz="4"/>
              <w:bottom w:val="single" w:color="000000" w:sz="4"/>
              <w:right w:val="single" w:color="000000" w:sz="4"/>
            </w:tcBorders>
          </w:tcPr>
          <w:p>
            <w:pPr>
              <w:jc w:val="center"/>
            </w:pPr>
            <w:r>
              <w:rPr>
                <w:color w:val="000000"/>
                <w:sz w:val="24"/>
              </w:rPr>
              <w:t>品牌、规格型号、配置（性能参数）</w:t>
            </w:r>
          </w:p>
        </w:tc>
        <w:tc>
          <w:tcPr>
            <w:tcW w:type="dxa" w:w="771"/>
            <w:tcBorders>
              <w:top w:val="single" w:color="000000" w:sz="4"/>
              <w:left w:val="none" w:color="000000" w:sz="4"/>
              <w:bottom w:val="single" w:color="000000" w:sz="4"/>
              <w:right w:val="single" w:color="000000" w:sz="4"/>
            </w:tcBorders>
          </w:tcPr>
          <w:p>
            <w:pPr>
              <w:jc w:val="center"/>
            </w:pPr>
            <w:r>
              <w:rPr>
                <w:color w:val="000000"/>
                <w:sz w:val="24"/>
              </w:rPr>
              <w:t>产地</w:t>
            </w:r>
          </w:p>
        </w:tc>
        <w:tc>
          <w:tcPr>
            <w:tcW w:type="dxa" w:w="771"/>
            <w:tcBorders>
              <w:top w:val="single" w:color="000000" w:sz="4"/>
              <w:left w:val="none" w:color="000000" w:sz="4"/>
              <w:bottom w:val="single" w:color="000000" w:sz="4"/>
              <w:right w:val="single" w:color="000000" w:sz="4"/>
            </w:tcBorders>
          </w:tcPr>
          <w:p>
            <w:pPr>
              <w:jc w:val="center"/>
            </w:pPr>
            <w:r>
              <w:rPr>
                <w:color w:val="000000"/>
                <w:sz w:val="24"/>
              </w:rPr>
              <w:t>数量</w:t>
            </w:r>
          </w:p>
        </w:tc>
        <w:tc>
          <w:tcPr>
            <w:tcW w:type="dxa" w:w="1286"/>
            <w:tcBorders>
              <w:top w:val="single" w:color="000000" w:sz="4"/>
              <w:left w:val="none" w:color="000000" w:sz="4"/>
              <w:bottom w:val="none" w:color="000000" w:sz="4"/>
              <w:right w:val="single" w:color="000000" w:sz="4"/>
            </w:tcBorders>
          </w:tcPr>
          <w:p>
            <w:pPr>
              <w:jc w:val="center"/>
            </w:pPr>
            <w:r>
              <w:rPr>
                <w:color w:val="000000"/>
                <w:sz w:val="24"/>
              </w:rPr>
              <w:t>单价(元)</w:t>
            </w:r>
          </w:p>
        </w:tc>
        <w:tc>
          <w:tcPr>
            <w:tcW w:type="dxa" w:w="1178"/>
            <w:tcBorders>
              <w:top w:val="single" w:color="000000" w:sz="4"/>
              <w:left w:val="none" w:color="000000" w:sz="4"/>
              <w:bottom w:val="none" w:color="000000" w:sz="4"/>
              <w:right w:val="single" w:color="000000" w:sz="4"/>
            </w:tcBorders>
          </w:tcPr>
          <w:p>
            <w:pPr>
              <w:jc w:val="center"/>
            </w:pPr>
            <w:r>
              <w:rPr>
                <w:color w:val="000000"/>
                <w:sz w:val="24"/>
              </w:rPr>
              <w:t>金额(元)</w:t>
            </w:r>
          </w:p>
        </w:tc>
        <w:tc>
          <w:tcPr>
            <w:tcW w:type="dxa" w:w="10"/>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600"/>
            <w:tcBorders>
              <w:top w:val="none" w:color="000000" w:sz="4"/>
              <w:left w:val="single" w:color="000000" w:sz="4"/>
              <w:bottom w:val="single" w:color="000000" w:sz="4"/>
              <w:right w:val="single" w:color="000000" w:sz="4"/>
            </w:tcBorders>
          </w:tcPr>
          <w:p>
            <w:pPr>
              <w:jc w:val="center"/>
            </w:pPr>
            <w:r>
              <w:rPr>
                <w:color w:val="000000"/>
                <w:sz w:val="24"/>
              </w:rPr>
              <w:t>1</w:t>
            </w:r>
          </w:p>
        </w:tc>
        <w:tc>
          <w:tcPr>
            <w:tcW w:type="dxa" w:w="1414"/>
            <w:tcBorders>
              <w:top w:val="none" w:color="000000" w:sz="4"/>
              <w:left w:val="none" w:color="000000" w:sz="4"/>
              <w:bottom w:val="single" w:color="000000" w:sz="4"/>
              <w:right w:val="single" w:color="000000" w:sz="4"/>
            </w:tcBorders>
          </w:tcPr>
          <w:p>
            <w:pPr>
              <w:jc w:val="both"/>
            </w:pPr>
          </w:p>
        </w:tc>
        <w:tc>
          <w:tcPr>
            <w:tcW w:type="dxa" w:w="2261"/>
            <w:tcBorders>
              <w:top w:val="none" w:color="000000" w:sz="4"/>
              <w:left w:val="none" w:color="000000" w:sz="4"/>
              <w:bottom w:val="single" w:color="000000" w:sz="4"/>
              <w:right w:val="single" w:color="000000" w:sz="4"/>
            </w:tcBorders>
          </w:tcPr>
          <w:p>
            <w:pPr>
              <w:jc w:val="both"/>
            </w:pPr>
          </w:p>
        </w:tc>
        <w:tc>
          <w:tcPr>
            <w:tcW w:type="dxa" w:w="771"/>
            <w:tcBorders>
              <w:top w:val="none" w:color="000000" w:sz="4"/>
              <w:left w:val="none" w:color="000000" w:sz="4"/>
              <w:bottom w:val="single" w:color="000000" w:sz="4"/>
              <w:right w:val="single" w:color="000000" w:sz="4"/>
            </w:tcBorders>
          </w:tcPr>
          <w:p>
            <w:pPr>
              <w:jc w:val="both"/>
            </w:pPr>
          </w:p>
        </w:tc>
        <w:tc>
          <w:tcPr>
            <w:tcW w:type="dxa" w:w="771"/>
            <w:tcBorders>
              <w:top w:val="none" w:color="000000" w:sz="4"/>
              <w:left w:val="none" w:color="000000" w:sz="4"/>
              <w:bottom w:val="single" w:color="000000" w:sz="4"/>
              <w:right w:val="single" w:color="000000" w:sz="4"/>
            </w:tcBorders>
          </w:tcPr>
          <w:p>
            <w:pPr>
              <w:jc w:val="both"/>
            </w:pPr>
          </w:p>
        </w:tc>
        <w:tc>
          <w:tcPr>
            <w:tcW w:type="dxa" w:w="1286"/>
            <w:tcBorders>
              <w:top w:val="single" w:color="000000" w:sz="4"/>
              <w:left w:val="none" w:color="000000" w:sz="4"/>
              <w:bottom w:val="none" w:color="000000" w:sz="4"/>
              <w:right w:val="single" w:color="000000" w:sz="4"/>
            </w:tcBorders>
          </w:tcPr>
          <w:p>
            <w:pPr>
              <w:jc w:val="both"/>
            </w:pPr>
          </w:p>
        </w:tc>
        <w:tc>
          <w:tcPr>
            <w:tcW w:type="dxa" w:w="1178"/>
            <w:tcBorders>
              <w:top w:val="single" w:color="000000" w:sz="4"/>
              <w:left w:val="none" w:color="000000" w:sz="4"/>
              <w:bottom w:val="none" w:color="000000" w:sz="4"/>
              <w:right w:val="single" w:color="000000" w:sz="4"/>
            </w:tcBorders>
          </w:tcPr>
          <w:p>
            <w:pPr>
              <w:jc w:val="both"/>
            </w:pPr>
          </w:p>
        </w:tc>
        <w:tc>
          <w:tcPr>
            <w:tcW w:type="dxa" w:w="10"/>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600"/>
            <w:tcBorders>
              <w:top w:val="none" w:color="000000" w:sz="4"/>
              <w:left w:val="single" w:color="000000" w:sz="4"/>
              <w:bottom w:val="single" w:color="000000" w:sz="4"/>
              <w:right w:val="single" w:color="000000" w:sz="4"/>
            </w:tcBorders>
          </w:tcPr>
          <w:p>
            <w:pPr>
              <w:jc w:val="center"/>
            </w:pPr>
            <w:r>
              <w:rPr>
                <w:color w:val="000000"/>
                <w:sz w:val="24"/>
              </w:rPr>
              <w:t>2</w:t>
            </w:r>
          </w:p>
        </w:tc>
        <w:tc>
          <w:tcPr>
            <w:tcW w:type="dxa" w:w="1414"/>
            <w:tcBorders>
              <w:top w:val="none" w:color="000000" w:sz="4"/>
              <w:left w:val="none" w:color="000000" w:sz="4"/>
              <w:bottom w:val="single" w:color="000000" w:sz="4"/>
              <w:right w:val="single" w:color="000000" w:sz="4"/>
            </w:tcBorders>
          </w:tcPr>
          <w:p>
            <w:pPr>
              <w:jc w:val="both"/>
            </w:pPr>
          </w:p>
        </w:tc>
        <w:tc>
          <w:tcPr>
            <w:tcW w:type="dxa" w:w="2261"/>
            <w:tcBorders>
              <w:top w:val="none" w:color="000000" w:sz="4"/>
              <w:left w:val="none" w:color="000000" w:sz="4"/>
              <w:bottom w:val="single" w:color="000000" w:sz="4"/>
              <w:right w:val="single" w:color="000000" w:sz="4"/>
            </w:tcBorders>
          </w:tcPr>
          <w:p>
            <w:pPr>
              <w:jc w:val="both"/>
            </w:pPr>
          </w:p>
        </w:tc>
        <w:tc>
          <w:tcPr>
            <w:tcW w:type="dxa" w:w="771"/>
            <w:tcBorders>
              <w:top w:val="none" w:color="000000" w:sz="4"/>
              <w:left w:val="none" w:color="000000" w:sz="4"/>
              <w:bottom w:val="single" w:color="000000" w:sz="4"/>
              <w:right w:val="single" w:color="000000" w:sz="4"/>
            </w:tcBorders>
          </w:tcPr>
          <w:p>
            <w:pPr>
              <w:jc w:val="both"/>
            </w:pPr>
          </w:p>
        </w:tc>
        <w:tc>
          <w:tcPr>
            <w:tcW w:type="dxa" w:w="771"/>
            <w:tcBorders>
              <w:top w:val="none" w:color="000000" w:sz="4"/>
              <w:left w:val="none" w:color="000000" w:sz="4"/>
              <w:bottom w:val="single" w:color="000000" w:sz="4"/>
              <w:right w:val="single" w:color="000000" w:sz="4"/>
            </w:tcBorders>
          </w:tcPr>
          <w:p>
            <w:pPr>
              <w:jc w:val="both"/>
            </w:pPr>
          </w:p>
        </w:tc>
        <w:tc>
          <w:tcPr>
            <w:tcW w:type="dxa" w:w="1286"/>
            <w:tcBorders>
              <w:top w:val="single" w:color="000000" w:sz="4"/>
              <w:left w:val="none" w:color="000000" w:sz="4"/>
              <w:bottom w:val="none" w:color="000000" w:sz="4"/>
              <w:right w:val="single" w:color="000000" w:sz="4"/>
            </w:tcBorders>
          </w:tcPr>
          <w:p>
            <w:pPr>
              <w:jc w:val="both"/>
            </w:pPr>
          </w:p>
        </w:tc>
        <w:tc>
          <w:tcPr>
            <w:tcW w:type="dxa" w:w="1178"/>
            <w:tcBorders>
              <w:top w:val="single" w:color="000000" w:sz="4"/>
              <w:left w:val="none" w:color="000000" w:sz="4"/>
              <w:bottom w:val="none" w:color="000000" w:sz="4"/>
              <w:right w:val="single" w:color="000000" w:sz="4"/>
            </w:tcBorders>
          </w:tcPr>
          <w:p>
            <w:pPr>
              <w:jc w:val="both"/>
            </w:pPr>
          </w:p>
        </w:tc>
        <w:tc>
          <w:tcPr>
            <w:tcW w:type="dxa" w:w="10"/>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600"/>
            <w:tcBorders>
              <w:top w:val="none" w:color="000000" w:sz="4"/>
              <w:left w:val="single" w:color="000000" w:sz="4"/>
              <w:bottom w:val="single" w:color="000000" w:sz="4"/>
              <w:right w:val="single" w:color="000000" w:sz="4"/>
            </w:tcBorders>
          </w:tcPr>
          <w:p>
            <w:pPr>
              <w:jc w:val="center"/>
            </w:pPr>
            <w:r>
              <w:rPr>
                <w:color w:val="000000"/>
                <w:sz w:val="24"/>
              </w:rPr>
              <w:t>3</w:t>
            </w:r>
          </w:p>
        </w:tc>
        <w:tc>
          <w:tcPr>
            <w:tcW w:type="dxa" w:w="1414"/>
            <w:tcBorders>
              <w:top w:val="none" w:color="000000" w:sz="4"/>
              <w:left w:val="none" w:color="000000" w:sz="4"/>
              <w:bottom w:val="single" w:color="000000" w:sz="4"/>
              <w:right w:val="single" w:color="000000" w:sz="4"/>
            </w:tcBorders>
          </w:tcPr>
          <w:p>
            <w:pPr>
              <w:jc w:val="both"/>
            </w:pPr>
          </w:p>
        </w:tc>
        <w:tc>
          <w:tcPr>
            <w:tcW w:type="dxa" w:w="2261"/>
            <w:tcBorders>
              <w:top w:val="none" w:color="000000" w:sz="4"/>
              <w:left w:val="none" w:color="000000" w:sz="4"/>
              <w:bottom w:val="single" w:color="000000" w:sz="4"/>
              <w:right w:val="single" w:color="000000" w:sz="4"/>
            </w:tcBorders>
          </w:tcPr>
          <w:p>
            <w:pPr>
              <w:jc w:val="both"/>
            </w:pPr>
          </w:p>
        </w:tc>
        <w:tc>
          <w:tcPr>
            <w:tcW w:type="dxa" w:w="771"/>
            <w:tcBorders>
              <w:top w:val="none" w:color="000000" w:sz="4"/>
              <w:left w:val="none" w:color="000000" w:sz="4"/>
              <w:bottom w:val="single" w:color="000000" w:sz="4"/>
              <w:right w:val="single" w:color="000000" w:sz="4"/>
            </w:tcBorders>
          </w:tcPr>
          <w:p>
            <w:pPr>
              <w:jc w:val="both"/>
            </w:pPr>
          </w:p>
        </w:tc>
        <w:tc>
          <w:tcPr>
            <w:tcW w:type="dxa" w:w="771"/>
            <w:tcBorders>
              <w:top w:val="none" w:color="000000" w:sz="4"/>
              <w:left w:val="none" w:color="000000" w:sz="4"/>
              <w:bottom w:val="single" w:color="000000" w:sz="4"/>
              <w:right w:val="single" w:color="000000" w:sz="4"/>
            </w:tcBorders>
          </w:tcPr>
          <w:p>
            <w:pPr>
              <w:jc w:val="both"/>
            </w:pPr>
          </w:p>
        </w:tc>
        <w:tc>
          <w:tcPr>
            <w:tcW w:type="dxa" w:w="1286"/>
            <w:tcBorders>
              <w:top w:val="single" w:color="000000" w:sz="4"/>
              <w:left w:val="none" w:color="000000" w:sz="4"/>
              <w:bottom w:val="none" w:color="000000" w:sz="4"/>
              <w:right w:val="single" w:color="000000" w:sz="4"/>
            </w:tcBorders>
          </w:tcPr>
          <w:p>
            <w:pPr>
              <w:jc w:val="both"/>
            </w:pPr>
          </w:p>
        </w:tc>
        <w:tc>
          <w:tcPr>
            <w:tcW w:type="dxa" w:w="1178"/>
            <w:tcBorders>
              <w:top w:val="single" w:color="000000" w:sz="4"/>
              <w:left w:val="none" w:color="000000" w:sz="4"/>
              <w:bottom w:val="none" w:color="000000" w:sz="4"/>
              <w:right w:val="single" w:color="000000" w:sz="4"/>
            </w:tcBorders>
          </w:tcPr>
          <w:p>
            <w:pPr>
              <w:jc w:val="both"/>
            </w:pPr>
          </w:p>
        </w:tc>
        <w:tc>
          <w:tcPr>
            <w:tcW w:type="dxa" w:w="10"/>
            <w:tcBorders>
              <w:top w:val="none" w:color="000000" w:sz="4"/>
              <w:left w:val="none" w:color="000000" w:sz="4"/>
              <w:bottom w:val="none" w:color="000000" w:sz="4"/>
              <w:right w:val="none" w:color="000000" w:sz="4"/>
            </w:tcBorders>
          </w:tcPr>
          <w:p>
            <w:pPr>
              <w:jc w:val="both"/>
            </w:pPr>
            <w:r>
              <w:rPr>
                <w:sz w:val="21"/>
              </w:rPr>
              <w:t xml:space="preserve"> </w:t>
            </w:r>
          </w:p>
        </w:tc>
      </w:tr>
      <w:tr>
        <w:tc>
          <w:tcPr>
            <w:tcW w:type="dxa" w:w="600"/>
            <w:tcBorders>
              <w:top w:val="none" w:color="000000" w:sz="4"/>
              <w:left w:val="single" w:color="000000" w:sz="4"/>
              <w:bottom w:val="single" w:color="000000" w:sz="4"/>
              <w:right w:val="single" w:color="000000" w:sz="4"/>
            </w:tcBorders>
          </w:tcPr>
          <w:p>
            <w:pPr>
              <w:jc w:val="center"/>
            </w:pPr>
            <w:r>
              <w:rPr>
                <w:color w:val="000000"/>
                <w:sz w:val="24"/>
              </w:rPr>
              <w:t>…</w:t>
            </w:r>
          </w:p>
        </w:tc>
        <w:tc>
          <w:tcPr>
            <w:tcW w:type="dxa" w:w="1414"/>
            <w:tcBorders>
              <w:top w:val="none" w:color="000000" w:sz="4"/>
              <w:left w:val="none" w:color="000000" w:sz="4"/>
              <w:bottom w:val="single" w:color="000000" w:sz="4"/>
              <w:right w:val="single" w:color="000000" w:sz="4"/>
            </w:tcBorders>
          </w:tcPr>
          <w:p>
            <w:pPr>
              <w:jc w:val="both"/>
            </w:pPr>
          </w:p>
        </w:tc>
        <w:tc>
          <w:tcPr>
            <w:tcW w:type="dxa" w:w="2261"/>
            <w:tcBorders>
              <w:top w:val="none" w:color="000000" w:sz="4"/>
              <w:left w:val="none" w:color="000000" w:sz="4"/>
              <w:bottom w:val="single" w:color="000000" w:sz="4"/>
              <w:right w:val="single" w:color="000000" w:sz="4"/>
            </w:tcBorders>
          </w:tcPr>
          <w:p>
            <w:pPr>
              <w:jc w:val="both"/>
            </w:pPr>
          </w:p>
        </w:tc>
        <w:tc>
          <w:tcPr>
            <w:tcW w:type="dxa" w:w="771"/>
            <w:tcBorders>
              <w:top w:val="none" w:color="000000" w:sz="4"/>
              <w:left w:val="none" w:color="000000" w:sz="4"/>
              <w:bottom w:val="single" w:color="000000" w:sz="4"/>
              <w:right w:val="single" w:color="000000" w:sz="4"/>
            </w:tcBorders>
          </w:tcPr>
          <w:p>
            <w:pPr>
              <w:jc w:val="both"/>
            </w:pPr>
          </w:p>
        </w:tc>
        <w:tc>
          <w:tcPr>
            <w:tcW w:type="dxa" w:w="771"/>
            <w:tcBorders>
              <w:top w:val="none" w:color="000000" w:sz="4"/>
              <w:left w:val="none" w:color="000000" w:sz="4"/>
              <w:bottom w:val="single" w:color="000000" w:sz="4"/>
              <w:right w:val="single" w:color="000000" w:sz="4"/>
            </w:tcBorders>
          </w:tcPr>
          <w:p>
            <w:pPr>
              <w:jc w:val="both"/>
            </w:pPr>
          </w:p>
        </w:tc>
        <w:tc>
          <w:tcPr>
            <w:tcW w:type="dxa" w:w="1286"/>
            <w:tcBorders>
              <w:top w:val="single" w:color="000000" w:sz="4"/>
              <w:left w:val="none" w:color="000000" w:sz="4"/>
              <w:bottom w:val="none" w:color="000000" w:sz="4"/>
              <w:right w:val="single" w:color="000000" w:sz="4"/>
            </w:tcBorders>
          </w:tcPr>
          <w:p>
            <w:pPr>
              <w:jc w:val="both"/>
            </w:pPr>
          </w:p>
        </w:tc>
        <w:tc>
          <w:tcPr>
            <w:tcW w:type="dxa" w:w="1178"/>
            <w:tcBorders>
              <w:top w:val="single" w:color="000000" w:sz="4"/>
              <w:left w:val="none" w:color="000000" w:sz="4"/>
              <w:bottom w:val="none" w:color="000000" w:sz="4"/>
              <w:right w:val="single" w:color="000000" w:sz="4"/>
            </w:tcBorders>
          </w:tcPr>
          <w:p>
            <w:pPr>
              <w:jc w:val="both"/>
            </w:pPr>
          </w:p>
        </w:tc>
        <w:tc>
          <w:tcPr>
            <w:tcW w:type="dxa" w:w="10"/>
            <w:tcBorders>
              <w:top w:val="none" w:color="000000" w:sz="4"/>
              <w:left w:val="none" w:color="000000" w:sz="4"/>
              <w:bottom w:val="single" w:color="000000" w:sz="4"/>
              <w:right w:val="none" w:color="000000" w:sz="4"/>
            </w:tcBorders>
          </w:tcPr>
          <w:p>
            <w:pPr>
              <w:jc w:val="both"/>
            </w:pPr>
            <w:r>
              <w:rPr>
                <w:sz w:val="21"/>
              </w:rPr>
              <w:t xml:space="preserve"> </w:t>
            </w:r>
          </w:p>
        </w:tc>
      </w:tr>
      <w:tr>
        <w:tc>
          <w:tcPr>
            <w:tcW w:type="dxa" w:w="8291"/>
            <w:gridSpan w:val="8"/>
            <w:tcBorders>
              <w:top w:val="none" w:color="000000" w:sz="4"/>
              <w:left w:val="single" w:color="000000" w:sz="4"/>
              <w:bottom w:val="single" w:color="000000" w:sz="4"/>
              <w:right w:val="single" w:color="000000" w:sz="4"/>
            </w:tcBorders>
          </w:tcPr>
          <w:p>
            <w:pPr>
              <w:jc w:val="both"/>
            </w:pPr>
            <w:r>
              <w:rPr>
                <w:sz w:val="21"/>
              </w:rPr>
              <w:t xml:space="preserve"> </w:t>
            </w:r>
            <w:r>
              <w:rPr>
                <w:color w:val="000000"/>
                <w:sz w:val="24"/>
              </w:rPr>
              <w:t xml:space="preserve">合计总额：¥       元；         大写：        </w:t>
            </w:r>
          </w:p>
        </w:tc>
      </w:tr>
    </w:tbl>
    <w:p>
      <w:pPr>
        <w:ind w:firstLine="486"/>
        <w:jc w:val="both"/>
      </w:pPr>
      <w:r>
        <w:rPr>
          <w:color w:val="000000"/>
          <w:sz w:val="24"/>
        </w:rPr>
        <w:t>合同总额包括设计、采购、运输、安装、调试、税费、相关部门验收及保修期内的维护保养等所有费用，以及投标人认为必要的其他货物、材料、工程、服务。</w:t>
      </w:r>
    </w:p>
    <w:p>
      <w:pPr>
        <w:ind w:firstLine="555"/>
        <w:jc w:val="both"/>
      </w:pPr>
      <w:r>
        <w:rPr>
          <w:color w:val="000000"/>
          <w:sz w:val="24"/>
        </w:rPr>
        <w:t>注：货物名称内容必须与投标文件中货物名称内容一致。</w:t>
      </w:r>
    </w:p>
    <w:p>
      <w:pPr>
        <w:ind w:firstLine="488"/>
        <w:jc w:val="both"/>
      </w:pPr>
      <w:r>
        <w:rPr>
          <w:b/>
          <w:color w:val="000000"/>
          <w:sz w:val="24"/>
        </w:rPr>
        <w:t>第二条 合同金额</w:t>
      </w:r>
    </w:p>
    <w:p>
      <w:pPr>
        <w:ind w:firstLine="486"/>
        <w:jc w:val="both"/>
      </w:pPr>
      <w:r>
        <w:rPr>
          <w:color w:val="000000"/>
          <w:sz w:val="24"/>
        </w:rPr>
        <w:t>合同金额为（大写）：元（¥元）人民币。</w:t>
      </w:r>
    </w:p>
    <w:p>
      <w:pPr>
        <w:ind w:firstLine="488"/>
        <w:jc w:val="both"/>
      </w:pPr>
      <w:r>
        <w:rPr>
          <w:b/>
          <w:color w:val="000000"/>
          <w:sz w:val="24"/>
        </w:rPr>
        <w:t>第三条 货物要求</w:t>
      </w:r>
    </w:p>
    <w:p>
      <w:pPr>
        <w:numPr>
          <w:ilvl w:val="0"/>
          <w:numId w:val="1"/>
        </w:numPr>
        <w:jc w:val="both"/>
      </w:pPr>
      <w:r>
        <w:rPr>
          <w:color w:val="000000"/>
          <w:sz w:val="24"/>
        </w:rPr>
        <w:t>货物为原制造商制造的全新产品，无污染，无侵权行为、表面无划损、无任何缺陷隐患，在中国境内可依常规安全合法使用。</w:t>
      </w:r>
    </w:p>
    <w:p>
      <w:pPr>
        <w:numPr>
          <w:ilvl w:val="0"/>
          <w:numId w:val="1"/>
        </w:numPr>
        <w:jc w:val="both"/>
      </w:pPr>
      <w:r>
        <w:rPr>
          <w:color w:val="000000"/>
          <w:sz w:val="24"/>
        </w:rPr>
        <w:t>交付验收标准依次序对照适用标准为：①符合中华人民共和国国家安全质量标准、环保标准或行业标准；②符合招标文件和响应承诺中甲方认可的合理最佳配置、参数及各项要求；③货物来源国官方标准。</w:t>
      </w:r>
    </w:p>
    <w:p>
      <w:pPr>
        <w:numPr>
          <w:ilvl w:val="0"/>
          <w:numId w:val="1"/>
        </w:numPr>
        <w:jc w:val="both"/>
      </w:pPr>
      <w:r>
        <w:rPr>
          <w:color w:val="000000"/>
          <w:sz w:val="24"/>
        </w:rPr>
        <w:t>进口产品必须具备原产地证明和商检局的检验证明及合法进货渠道证明。</w:t>
      </w:r>
    </w:p>
    <w:p>
      <w:pPr>
        <w:numPr>
          <w:ilvl w:val="0"/>
          <w:numId w:val="1"/>
        </w:numPr>
        <w:jc w:val="both"/>
      </w:pPr>
      <w:r>
        <w:rPr>
          <w:color w:val="000000"/>
          <w:sz w:val="24"/>
        </w:rPr>
        <w:t>货物为原厂商未启封全新包装，具出厂合格证，序列号、包装箱号与出厂批号一致，并可追索查阅。</w:t>
      </w:r>
    </w:p>
    <w:p>
      <w:pPr>
        <w:numPr>
          <w:ilvl w:val="0"/>
          <w:numId w:val="1"/>
        </w:numPr>
        <w:jc w:val="both"/>
      </w:pPr>
      <w:r>
        <w:rPr>
          <w:color w:val="000000"/>
          <w:sz w:val="24"/>
        </w:rPr>
        <w:t>乙方应将产品的用户手册、保修手册、有关单证资料及配备件、随机工具等交付给甲方，使用操作及安全须知等重要资料应附有中文说明。</w:t>
      </w:r>
    </w:p>
    <w:p>
      <w:pPr>
        <w:ind w:firstLine="488"/>
        <w:jc w:val="both"/>
      </w:pPr>
      <w:r>
        <w:rPr>
          <w:b/>
          <w:color w:val="000000"/>
          <w:sz w:val="24"/>
        </w:rPr>
        <w:t>第四条 交付时间、交付地点</w:t>
      </w:r>
    </w:p>
    <w:p>
      <w:pPr>
        <w:numPr>
          <w:ilvl w:val="0"/>
          <w:numId w:val="1"/>
        </w:numPr>
        <w:jc w:val="both"/>
      </w:pPr>
      <w:r>
        <w:rPr>
          <w:color w:val="000000"/>
          <w:sz w:val="24"/>
        </w:rPr>
        <w:t>交付时间</w:t>
      </w:r>
    </w:p>
    <w:p>
      <w:pPr>
        <w:ind w:firstLine="486"/>
        <w:jc w:val="both"/>
      </w:pPr>
      <w:r>
        <w:rPr>
          <w:color w:val="000000"/>
          <w:sz w:val="24"/>
        </w:rPr>
        <w:t>（1）签订合同接甲方通知后，30日历天内将货物运送到甲方指定安装位置，若逾期交付，将从逾期之日起每日按本合同总价3‰的数额向甲方支付违约金；逾期15天以上的，甲方有权终止合同，由此造成的甲方经济损失由中标人承担；</w:t>
      </w:r>
    </w:p>
    <w:p>
      <w:pPr>
        <w:ind w:firstLine="486"/>
        <w:jc w:val="both"/>
      </w:pPr>
      <w:r>
        <w:rPr>
          <w:color w:val="000000"/>
          <w:sz w:val="24"/>
        </w:rPr>
        <w:t>（2）货物运送到甲方指定安装位置后，150日历天内安装完毕交付使用。若逾期交付，将从逾期之日起每日按本合同总价3‰的数额向甲方支付违约金；逾期15天以上的，甲方有权终止合同，由此造成的甲方经济损失由中标人承担。</w:t>
      </w:r>
    </w:p>
    <w:p>
      <w:pPr>
        <w:ind w:firstLine="488"/>
        <w:jc w:val="both"/>
      </w:pPr>
      <w:r>
        <w:rPr>
          <w:b/>
          <w:color w:val="000000"/>
          <w:sz w:val="24"/>
        </w:rPr>
        <w:t>第五条 付款方式</w:t>
      </w:r>
    </w:p>
    <w:p>
      <w:pPr>
        <w:ind w:firstLine="486"/>
        <w:jc w:val="both"/>
      </w:pPr>
      <w:r>
        <w:rPr>
          <w:color w:val="000000"/>
          <w:sz w:val="24"/>
        </w:rPr>
        <w:t>1.</w:t>
      </w:r>
      <w:r>
        <w:rPr>
          <w:color w:val="000000"/>
          <w:sz w:val="24"/>
        </w:rPr>
        <w:t>签订合同后15个工作日内支付合同总金额的30%；项目验收合格后且提交所有材料后15个工作日内支付合同总额65%；剩余合同总金额5%作为质保金，设备、软件正常使用1年后无息支付。</w:t>
      </w:r>
    </w:p>
    <w:p>
      <w:pPr>
        <w:ind w:firstLine="486"/>
        <w:jc w:val="both"/>
      </w:pPr>
    </w:p>
    <w:p>
      <w:pPr>
        <w:ind w:firstLine="486"/>
        <w:jc w:val="both"/>
      </w:pPr>
      <w:r>
        <w:rPr>
          <w:color w:val="000000"/>
          <w:sz w:val="24"/>
        </w:rPr>
        <w:t>2.</w:t>
      </w:r>
      <w:r>
        <w:rPr>
          <w:color w:val="000000"/>
          <w:sz w:val="24"/>
        </w:rPr>
        <w:t>中标人凭以下有效文件与采购人结算：</w:t>
      </w:r>
    </w:p>
    <w:p>
      <w:pPr>
        <w:ind w:firstLine="486"/>
        <w:jc w:val="both"/>
      </w:pPr>
      <w:r>
        <w:rPr>
          <w:color w:val="000000"/>
          <w:sz w:val="24"/>
        </w:rPr>
        <w:t>（1）合同；</w:t>
      </w:r>
    </w:p>
    <w:p>
      <w:pPr>
        <w:ind w:firstLine="486"/>
        <w:jc w:val="both"/>
      </w:pPr>
      <w:r>
        <w:rPr>
          <w:color w:val="000000"/>
          <w:sz w:val="24"/>
        </w:rPr>
        <w:t>（2）中标人开具的正式发票；</w:t>
      </w:r>
    </w:p>
    <w:p>
      <w:pPr>
        <w:ind w:firstLine="486"/>
        <w:jc w:val="both"/>
      </w:pPr>
      <w:r>
        <w:rPr>
          <w:color w:val="000000"/>
          <w:sz w:val="24"/>
        </w:rPr>
        <w:t>（3）验收报告（加盖采购人公章）；</w:t>
      </w:r>
    </w:p>
    <w:p>
      <w:pPr>
        <w:ind w:firstLine="486"/>
        <w:jc w:val="both"/>
      </w:pPr>
      <w:r>
        <w:rPr>
          <w:color w:val="000000"/>
          <w:sz w:val="24"/>
        </w:rPr>
        <w:t>（4）中标通知书。</w:t>
      </w:r>
    </w:p>
    <w:p>
      <w:pPr>
        <w:ind w:firstLine="488"/>
        <w:jc w:val="both"/>
      </w:pPr>
      <w:r>
        <w:rPr>
          <w:b/>
          <w:color w:val="000000"/>
          <w:sz w:val="24"/>
        </w:rPr>
        <w:t>第六条 后续跟踪服务要求</w:t>
      </w:r>
    </w:p>
    <w:p>
      <w:pPr>
        <w:ind w:firstLine="488"/>
        <w:jc w:val="both"/>
      </w:pPr>
      <w:r>
        <w:rPr>
          <w:b/>
          <w:color w:val="000000"/>
          <w:sz w:val="24"/>
        </w:rPr>
        <w:t>第七条 安装与调试</w:t>
      </w:r>
    </w:p>
    <w:p>
      <w:pPr>
        <w:ind w:firstLine="486"/>
        <w:jc w:val="both"/>
      </w:pPr>
      <w:r>
        <w:rPr>
          <w:color w:val="000000"/>
          <w:sz w:val="24"/>
        </w:rPr>
        <w:t>乙方必须依照招标文件的要求和投标文件的承诺，将货物、系统安装并调试至正常运行的最佳状态。</w:t>
      </w:r>
    </w:p>
    <w:p>
      <w:pPr>
        <w:jc w:val="both"/>
      </w:pPr>
      <w:r>
        <w:rPr>
          <w:b/>
          <w:color w:val="000000"/>
          <w:sz w:val="24"/>
        </w:rPr>
        <w:t>第八条 验收</w:t>
      </w:r>
    </w:p>
    <w:p>
      <w:pPr>
        <w:ind w:firstLine="488"/>
        <w:jc w:val="both"/>
      </w:pPr>
      <w:r>
        <w:rPr>
          <w:b/>
          <w:color w:val="000000"/>
          <w:sz w:val="24"/>
        </w:rPr>
        <w:t>第九条 违约责任与赔偿损失</w:t>
      </w:r>
    </w:p>
    <w:p>
      <w:pPr>
        <w:ind w:firstLine="488"/>
        <w:jc w:val="both"/>
      </w:pPr>
      <w:r>
        <w:rPr>
          <w:b/>
          <w:color w:val="000000"/>
          <w:sz w:val="24"/>
        </w:rPr>
        <w:t>第十条 争端的解决</w:t>
      </w:r>
    </w:p>
    <w:p>
      <w:pPr>
        <w:ind w:firstLine="488"/>
        <w:jc w:val="both"/>
      </w:pPr>
      <w:r>
        <w:rPr>
          <w:b/>
          <w:color w:val="000000"/>
          <w:sz w:val="24"/>
        </w:rPr>
        <w:t>第十一条 不可抗力</w:t>
      </w:r>
    </w:p>
    <w:p>
      <w:pPr>
        <w:ind w:firstLine="486"/>
        <w:jc w:val="both"/>
      </w:pPr>
      <w:r>
        <w:rPr>
          <w:color w:val="000000"/>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8"/>
        <w:jc w:val="both"/>
      </w:pPr>
      <w:r>
        <w:rPr>
          <w:b/>
          <w:color w:val="000000"/>
          <w:sz w:val="24"/>
        </w:rPr>
        <w:t>第十二条 税费</w:t>
      </w:r>
    </w:p>
    <w:p>
      <w:pPr>
        <w:ind w:firstLine="486"/>
        <w:jc w:val="both"/>
      </w:pPr>
      <w:r>
        <w:rPr>
          <w:color w:val="000000"/>
          <w:sz w:val="24"/>
        </w:rPr>
        <w:t>在中国境内、外发生的与本合同执行有关的一切税费均由乙方负担。</w:t>
      </w:r>
    </w:p>
    <w:p>
      <w:pPr>
        <w:ind w:firstLine="488"/>
        <w:jc w:val="both"/>
      </w:pPr>
      <w:r>
        <w:rPr>
          <w:b/>
          <w:color w:val="000000"/>
          <w:sz w:val="24"/>
        </w:rPr>
        <w:t>第十三条 其它</w:t>
      </w:r>
    </w:p>
    <w:p>
      <w:pPr>
        <w:ind w:firstLine="488"/>
        <w:jc w:val="both"/>
      </w:pPr>
      <w:r>
        <w:rPr>
          <w:b/>
          <w:color w:val="000000"/>
          <w:sz w:val="24"/>
        </w:rPr>
        <w:t>第十四条 合同终止</w:t>
      </w:r>
    </w:p>
    <w:p>
      <w:pPr>
        <w:ind w:firstLine="486"/>
        <w:jc w:val="both"/>
      </w:pPr>
      <w:r>
        <w:rPr>
          <w:color w:val="000000"/>
          <w:sz w:val="24"/>
        </w:rPr>
        <w:t>如果一方严重违反合同，并在收到对方违约通知书后在30天内仍未能改正的，另一方可立即终止本合同。</w:t>
      </w:r>
    </w:p>
    <w:p>
      <w:pPr>
        <w:ind w:firstLine="488"/>
        <w:jc w:val="both"/>
      </w:pPr>
      <w:r>
        <w:rPr>
          <w:b/>
          <w:color w:val="000000"/>
          <w:sz w:val="24"/>
        </w:rPr>
        <w:t>第十五条 合同生效</w:t>
      </w:r>
    </w:p>
    <w:p>
      <w:pPr>
        <w:jc w:val="both"/>
      </w:pPr>
    </w:p>
    <w:p>
      <w:pPr>
        <w:jc w:val="both"/>
      </w:pPr>
    </w:p>
    <w:p>
      <w:pPr>
        <w:jc w:val="center"/>
      </w:pPr>
      <w:r>
        <w:rPr>
          <w:color w:val="000000"/>
          <w:sz w:val="24"/>
        </w:rPr>
        <w:t>（以下无正文）</w:t>
      </w:r>
    </w:p>
    <w:p>
      <w:pPr>
        <w:jc w:val="both"/>
      </w:pPr>
    </w:p>
    <w:tbl>
      <w:tblPr>
        <w:tblW w:w="0" w:type="auto"/>
        <w:tblBorders>
          <w:top w:val="single"/>
          <w:left w:val="single"/>
          <w:bottom w:val="single"/>
          <w:right w:val="single"/>
          <w:insideH w:val="single"/>
          <w:insideV w:val="single"/>
        </w:tblBorders>
      </w:tblPr>
      <w:tblGrid>
        <w:gridCol w:w="4153"/>
        <w:gridCol w:w="4153"/>
      </w:tblGrid>
      <w:tr>
        <w:tc>
          <w:tcPr>
            <w:tcW w:type="dxa" w:w="4153"/>
          </w:tcPr>
          <w:p>
            <w:pPr>
              <w:jc w:val="both"/>
            </w:pPr>
            <w:r>
              <w:rPr>
                <w:color w:val="000000"/>
                <w:sz w:val="24"/>
              </w:rPr>
              <w:t>甲方（盖章）：</w:t>
            </w:r>
          </w:p>
        </w:tc>
        <w:tc>
          <w:tcPr>
            <w:tcW w:type="dxa" w:w="4153"/>
          </w:tcPr>
          <w:p>
            <w:pPr>
              <w:jc w:val="both"/>
            </w:pPr>
            <w:r>
              <w:rPr>
                <w:color w:val="000000"/>
                <w:sz w:val="24"/>
              </w:rPr>
              <w:t>乙方（盖章）：</w:t>
            </w:r>
          </w:p>
        </w:tc>
      </w:tr>
      <w:tr>
        <w:tc>
          <w:tcPr>
            <w:tcW w:type="dxa" w:w="4153"/>
          </w:tcPr>
          <w:p>
            <w:pPr>
              <w:jc w:val="both"/>
            </w:pPr>
            <w:r>
              <w:rPr>
                <w:color w:val="000000"/>
                <w:sz w:val="24"/>
              </w:rPr>
              <w:t>甲方法定代表人（签字）：</w:t>
            </w:r>
          </w:p>
        </w:tc>
        <w:tc>
          <w:tcPr>
            <w:tcW w:type="dxa" w:w="4153"/>
          </w:tcPr>
          <w:p>
            <w:pPr>
              <w:jc w:val="both"/>
            </w:pPr>
            <w:r>
              <w:rPr>
                <w:color w:val="000000"/>
                <w:sz w:val="24"/>
              </w:rPr>
              <w:t>乙方法定代表人（签字）：</w:t>
            </w:r>
          </w:p>
        </w:tc>
      </w:tr>
      <w:tr>
        <w:tc>
          <w:tcPr>
            <w:tcW w:type="dxa" w:w="4153"/>
          </w:tcPr>
          <w:p>
            <w:pPr>
              <w:jc w:val="both"/>
            </w:pPr>
            <w:r>
              <w:rPr>
                <w:color w:val="000000"/>
                <w:sz w:val="24"/>
              </w:rPr>
              <w:t>或授权代表（签字）：</w:t>
            </w:r>
          </w:p>
        </w:tc>
        <w:tc>
          <w:tcPr>
            <w:tcW w:type="dxa" w:w="4153"/>
          </w:tcPr>
          <w:p>
            <w:pPr>
              <w:jc w:val="both"/>
            </w:pPr>
            <w:r>
              <w:rPr>
                <w:color w:val="000000"/>
                <w:sz w:val="24"/>
              </w:rPr>
              <w:t>或授权代表（签字）：</w:t>
            </w:r>
          </w:p>
        </w:tc>
      </w:tr>
      <w:tr>
        <w:tc>
          <w:tcPr>
            <w:tcW w:type="dxa" w:w="4153"/>
          </w:tcPr>
          <w:p>
            <w:pPr>
              <w:jc w:val="both"/>
            </w:pPr>
            <w:r>
              <w:rPr>
                <w:color w:val="000000"/>
                <w:sz w:val="24"/>
              </w:rPr>
              <w:t>地址：</w:t>
            </w:r>
          </w:p>
        </w:tc>
        <w:tc>
          <w:tcPr>
            <w:tcW w:type="dxa" w:w="4153"/>
          </w:tcPr>
          <w:p>
            <w:pPr>
              <w:jc w:val="both"/>
            </w:pPr>
            <w:r>
              <w:rPr>
                <w:color w:val="000000"/>
                <w:sz w:val="24"/>
              </w:rPr>
              <w:t>地址：</w:t>
            </w:r>
          </w:p>
        </w:tc>
      </w:tr>
      <w:tr>
        <w:tc>
          <w:tcPr>
            <w:tcW w:type="dxa" w:w="4153"/>
          </w:tcPr>
          <w:p>
            <w:pPr>
              <w:jc w:val="both"/>
            </w:pPr>
            <w:r>
              <w:rPr>
                <w:color w:val="000000"/>
                <w:sz w:val="24"/>
              </w:rPr>
              <w:t>电话：</w:t>
            </w:r>
          </w:p>
        </w:tc>
        <w:tc>
          <w:tcPr>
            <w:tcW w:type="dxa" w:w="4153"/>
          </w:tcPr>
          <w:p>
            <w:pPr>
              <w:jc w:val="both"/>
            </w:pPr>
            <w:r>
              <w:rPr>
                <w:color w:val="000000"/>
                <w:sz w:val="24"/>
              </w:rPr>
              <w:t>电话：</w:t>
            </w:r>
          </w:p>
        </w:tc>
      </w:tr>
      <w:tr>
        <w:tc>
          <w:tcPr>
            <w:tcW w:type="dxa" w:w="4153"/>
          </w:tcPr>
          <w:p>
            <w:pPr>
              <w:jc w:val="both"/>
            </w:pPr>
            <w:r>
              <w:rPr>
                <w:color w:val="000000"/>
                <w:sz w:val="24"/>
              </w:rPr>
              <w:t>传真：</w:t>
            </w:r>
          </w:p>
        </w:tc>
        <w:tc>
          <w:tcPr>
            <w:tcW w:type="dxa" w:w="4153"/>
          </w:tcPr>
          <w:p>
            <w:pPr>
              <w:jc w:val="both"/>
            </w:pPr>
            <w:r>
              <w:rPr>
                <w:color w:val="000000"/>
                <w:sz w:val="24"/>
              </w:rPr>
              <w:t>传真：</w:t>
            </w:r>
          </w:p>
        </w:tc>
      </w:tr>
      <w:tr>
        <w:tc>
          <w:tcPr>
            <w:tcW w:type="dxa" w:w="4153"/>
          </w:tcPr>
          <w:p>
            <w:pPr>
              <w:jc w:val="both"/>
            </w:pPr>
            <w:r>
              <w:rPr>
                <w:color w:val="000000"/>
                <w:sz w:val="24"/>
              </w:rPr>
              <w:t>签订时间：</w:t>
            </w:r>
          </w:p>
        </w:tc>
        <w:tc>
          <w:tcPr>
            <w:tcW w:type="dxa" w:w="4153"/>
          </w:tcPr>
          <w:p>
            <w:pPr>
              <w:jc w:val="both"/>
            </w:pPr>
            <w:r>
              <w:rPr>
                <w:color w:val="000000"/>
                <w:sz w:val="24"/>
              </w:rPr>
              <w:t>签订时间：</w:t>
            </w:r>
          </w:p>
        </w:tc>
      </w:tr>
      <w:tr>
        <w:tc>
          <w:tcPr>
            <w:tcW w:type="dxa" w:w="4153"/>
          </w:tcPr>
          <w:p>
            <w:pPr>
              <w:jc w:val="both"/>
            </w:pPr>
            <w:r>
              <w:rPr>
                <w:color w:val="000000"/>
                <w:sz w:val="24"/>
              </w:rPr>
              <w:t>签定地点：</w:t>
            </w:r>
          </w:p>
        </w:tc>
        <w:tc>
          <w:tcPr>
            <w:tcW w:type="dxa" w:w="4153"/>
          </w:tcPr>
          <w:p>
            <w:pPr>
              <w:jc w:val="both"/>
            </w:pPr>
          </w:p>
        </w:tc>
      </w:tr>
      <w:tr>
        <w:tc>
          <w:tcPr>
            <w:tcW w:type="dxa" w:w="4153"/>
          </w:tcPr>
          <w:p>
            <w:pPr>
              <w:jc w:val="both"/>
            </w:pPr>
          </w:p>
        </w:tc>
        <w:tc>
          <w:tcPr>
            <w:tcW w:type="dxa" w:w="4153"/>
          </w:tcPr>
          <w:p>
            <w:pPr>
              <w:jc w:val="both"/>
            </w:pPr>
            <w:r>
              <w:rPr>
                <w:color w:val="000000"/>
                <w:sz w:val="24"/>
              </w:rPr>
              <w:t>开户名称：</w:t>
            </w:r>
          </w:p>
        </w:tc>
      </w:tr>
      <w:tr>
        <w:tc>
          <w:tcPr>
            <w:tcW w:type="dxa" w:w="4153"/>
          </w:tcPr>
          <w:p>
            <w:pPr>
              <w:jc w:val="both"/>
            </w:pPr>
          </w:p>
        </w:tc>
        <w:tc>
          <w:tcPr>
            <w:tcW w:type="dxa" w:w="4153"/>
          </w:tcPr>
          <w:p>
            <w:pPr>
              <w:jc w:val="both"/>
            </w:pPr>
            <w:r>
              <w:rPr>
                <w:color w:val="000000"/>
                <w:sz w:val="24"/>
              </w:rPr>
              <w:t>银行账号：</w:t>
            </w:r>
          </w:p>
        </w:tc>
      </w:tr>
      <w:tr>
        <w:tc>
          <w:tcPr>
            <w:tcW w:type="dxa" w:w="4153"/>
          </w:tcPr>
          <w:p>
            <w:pPr>
              <w:jc w:val="both"/>
            </w:pPr>
          </w:p>
        </w:tc>
        <w:tc>
          <w:tcPr>
            <w:tcW w:type="dxa" w:w="4153"/>
          </w:tcPr>
          <w:p>
            <w:pPr>
              <w:jc w:val="both"/>
            </w:pPr>
            <w:r>
              <w:rPr>
                <w:color w:val="000000"/>
                <w:sz w:val="24"/>
              </w:rPr>
              <w:t>开户行：</w:t>
            </w:r>
          </w:p>
        </w:tc>
      </w:tr>
    </w:tbl>
    <w:p>
      <w:r>
        <w:rPr/>
        <w:t xml:space="preserve"> </w:t>
      </w:r>
    </w:p>
    <w:p>
      <w:pPr>
        <w:ind w:firstLine="486"/>
        <w:jc w:val="both"/>
      </w:pPr>
    </w:p>
    <w:p>
      <w:pPr>
        <w:jc w:val="center"/>
      </w:pPr>
      <w:r>
        <w:rPr>
          <w:sz w:val="48"/>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441601-2022-02369</w:t>
      </w:r>
    </w:p>
    <w:p>
      <w:pPr>
        <w:jc w:val="center"/>
      </w:pPr>
      <w:r>
        <w:rPr>
          <w:b/>
          <w:sz w:val="24"/>
        </w:rPr>
        <w:t>采购项目编号：</w:t>
      </w:r>
      <w:r>
        <w:rPr>
          <w:b/>
          <w:sz w:val="24"/>
        </w:rPr>
        <w:t>HYWX20221205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河源市万信招标代理有限公司</w:t>
      </w:r>
    </w:p>
    <w:p>
      <w:pPr>
        <w:ind w:firstLine="480"/>
      </w:pPr>
      <w:r>
        <w:rPr/>
        <w:t>你方组织的</w:t>
      </w:r>
      <w:r>
        <w:rPr>
          <w:u w:val="single"/>
        </w:rPr>
        <w:t>“</w:t>
      </w:r>
      <w:r>
        <w:rPr>
          <w:u w:val="single"/>
        </w:rPr>
        <w:t>河源市公安局交警支队205国道科技示范公路项目</w:t>
      </w:r>
      <w:r>
        <w:rPr>
          <w:u w:val="single"/>
        </w:rPr>
        <w:t>”</w:t>
      </w:r>
      <w:r>
        <w:rPr/>
        <w:t>项目的招标[采购项目编号为：</w:t>
      </w:r>
      <w:r>
        <w:rPr>
          <w:u w:val="single"/>
        </w:rPr>
        <w:t>HYWX20221205</w:t>
      </w:r>
      <w:r>
        <w:rPr/>
        <w:t>]，我方愿参与投标。</w:t>
      </w:r>
    </w:p>
    <w:p>
      <w:pPr>
        <w:ind w:firstLine="480"/>
      </w:pPr>
      <w:r>
        <w:rPr/>
        <w:t>我方确认收到贵方提供的</w:t>
      </w:r>
      <w:r>
        <w:rPr>
          <w:u w:val="single"/>
        </w:rPr>
        <w:t>“</w:t>
      </w:r>
      <w:r>
        <w:rPr>
          <w:u w:val="single"/>
        </w:rPr>
        <w:t>河源市公安局交警支队205国道科技示范公路项目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河源市万信招标代理有限公司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河源市公安局交警支队205国道科技示范公路项目</w:t>
      </w:r>
      <w:r>
        <w:rPr/>
        <w:t>”项目采购[采购项目编号为</w:t>
      </w:r>
      <w:r>
        <w:rPr/>
        <w:t>HYWX20221205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河源市公安局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河源市万信招标代理有限公司</w:t>
      </w:r>
    </w:p>
    <w:p>
      <w:pPr>
        <w:ind w:firstLine="480"/>
      </w:pPr>
      <w:r>
        <w:rPr/>
        <w:t>如果我方在贵采购代理机构组织的</w:t>
      </w:r>
      <w:r>
        <w:rPr/>
        <w:t>河源市公安局交警支队205国道科技示范公路项目</w:t>
      </w:r>
      <w:r>
        <w:rPr/>
        <w:t>招标中获中标（采购项目编号：</w:t>
      </w:r>
      <w:r>
        <w:rPr/>
        <w:t>HYWX20221205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河源市万信招标代理有限公司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河源市万信招标代理有限公司</w:t>
      </w:r>
    </w:p>
    <w:p>
      <w:pPr>
        <w:ind w:firstLine="480"/>
      </w:pPr>
      <w:r>
        <w:rPr/>
        <w:t>我单位已登记并准备参与“</w:t>
      </w:r>
      <w:r>
        <w:rPr/>
        <w:t>河源市公安局交警支队205国道科技示范公路项目</w:t>
      </w:r>
      <w:r>
        <w:rPr/>
        <w:t>”项目（采购项目编号：</w:t>
      </w:r>
      <w:r>
        <w:rPr/>
        <w:t>HYWX20221205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